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AE4C0" w:themeColor="background1" w:themeShade="F2"/>
  <w:body>
    <w:p w14:paraId="3CFAF014">
      <w:pPr>
        <w:snapToGrid w:val="0"/>
        <w:spacing w:line="360" w:lineRule="auto"/>
        <w:jc w:val="center"/>
        <w:rPr>
          <w:rFonts w:ascii="黑体" w:hAnsi="黑体" w:eastAsia="黑体"/>
          <w:color w:val="000000"/>
          <w:sz w:val="40"/>
          <w:szCs w:val="40"/>
        </w:rPr>
      </w:pPr>
    </w:p>
    <w:p w14:paraId="01D8FE65">
      <w:pPr>
        <w:snapToGrid w:val="0"/>
        <w:spacing w:line="360" w:lineRule="auto"/>
        <w:jc w:val="center"/>
        <w:rPr>
          <w:rFonts w:ascii="黑体" w:hAnsi="黑体" w:eastAsia="黑体"/>
          <w:color w:val="000000"/>
          <w:sz w:val="40"/>
          <w:szCs w:val="40"/>
        </w:rPr>
      </w:pPr>
    </w:p>
    <w:p w14:paraId="7CA414F8">
      <w:pPr>
        <w:snapToGrid w:val="0"/>
        <w:spacing w:line="360" w:lineRule="auto"/>
        <w:jc w:val="center"/>
        <w:rPr>
          <w:rFonts w:ascii="黑体" w:hAnsi="黑体" w:eastAsia="黑体"/>
          <w:color w:val="000000"/>
          <w:sz w:val="40"/>
          <w:szCs w:val="40"/>
        </w:rPr>
      </w:pPr>
    </w:p>
    <w:p w14:paraId="3DC57BB6">
      <w:pPr>
        <w:snapToGrid w:val="0"/>
        <w:spacing w:line="360" w:lineRule="auto"/>
        <w:jc w:val="center"/>
        <w:rPr>
          <w:rFonts w:ascii="黑体" w:hAnsi="黑体" w:eastAsia="黑体"/>
          <w:color w:val="000000"/>
          <w:sz w:val="40"/>
          <w:szCs w:val="40"/>
        </w:rPr>
      </w:pPr>
    </w:p>
    <w:p w14:paraId="5C27CB35">
      <w:pPr>
        <w:snapToGrid w:val="0"/>
        <w:spacing w:line="360" w:lineRule="auto"/>
        <w:jc w:val="center"/>
        <w:rPr>
          <w:rFonts w:ascii="黑体" w:hAnsi="黑体" w:eastAsia="黑体"/>
          <w:color w:val="000000"/>
          <w:sz w:val="40"/>
          <w:szCs w:val="40"/>
        </w:rPr>
      </w:pPr>
    </w:p>
    <w:p w14:paraId="7DABA523">
      <w:pPr>
        <w:snapToGrid w:val="0"/>
        <w:spacing w:line="360" w:lineRule="auto"/>
        <w:jc w:val="center"/>
        <w:rPr>
          <w:rFonts w:ascii="黑体" w:hAnsi="黑体" w:eastAsia="黑体"/>
          <w:color w:val="000000"/>
          <w:sz w:val="40"/>
          <w:szCs w:val="40"/>
        </w:rPr>
      </w:pPr>
    </w:p>
    <w:p w14:paraId="3CEB3DB4">
      <w:pPr>
        <w:snapToGrid w:val="0"/>
        <w:spacing w:line="360" w:lineRule="auto"/>
        <w:jc w:val="center"/>
        <w:rPr>
          <w:rFonts w:ascii="黑体" w:hAnsi="黑体" w:eastAsia="黑体"/>
          <w:color w:val="000000"/>
          <w:sz w:val="40"/>
          <w:szCs w:val="40"/>
        </w:rPr>
      </w:pPr>
      <w:r>
        <w:rPr>
          <w:rFonts w:ascii="黑体" w:hAnsi="黑体" w:eastAsia="黑体"/>
          <w:color w:val="000000"/>
          <w:sz w:val="40"/>
          <w:szCs w:val="40"/>
        </w:rPr>
        <w:t>天津市建筑业“十四五”规划（</w:t>
      </w:r>
      <w:r>
        <w:rPr>
          <w:rFonts w:hint="eastAsia" w:ascii="黑体" w:hAnsi="黑体" w:eastAsia="黑体"/>
          <w:color w:val="000000"/>
          <w:sz w:val="40"/>
          <w:szCs w:val="40"/>
        </w:rPr>
        <w:t>2</w:t>
      </w:r>
      <w:r>
        <w:rPr>
          <w:rFonts w:ascii="黑体" w:hAnsi="黑体" w:eastAsia="黑体"/>
          <w:color w:val="000000"/>
          <w:sz w:val="40"/>
          <w:szCs w:val="40"/>
        </w:rPr>
        <w:t>021-2025）</w:t>
      </w:r>
    </w:p>
    <w:p w14:paraId="66D1A723">
      <w:pPr>
        <w:snapToGrid w:val="0"/>
        <w:spacing w:line="360" w:lineRule="auto"/>
        <w:jc w:val="center"/>
        <w:rPr>
          <w:rFonts w:ascii="黑体" w:hAnsi="黑体" w:eastAsia="黑体"/>
          <w:color w:val="000000"/>
          <w:sz w:val="40"/>
          <w:szCs w:val="40"/>
        </w:rPr>
      </w:pPr>
    </w:p>
    <w:p w14:paraId="010B81FF">
      <w:pPr>
        <w:snapToGrid w:val="0"/>
        <w:spacing w:line="360" w:lineRule="auto"/>
        <w:jc w:val="center"/>
        <w:rPr>
          <w:rFonts w:ascii="黑体" w:hAnsi="黑体" w:eastAsia="黑体"/>
          <w:color w:val="000000"/>
          <w:sz w:val="40"/>
          <w:szCs w:val="40"/>
        </w:rPr>
      </w:pPr>
    </w:p>
    <w:p w14:paraId="1405D265">
      <w:pPr>
        <w:snapToGrid w:val="0"/>
        <w:spacing w:line="360" w:lineRule="auto"/>
        <w:jc w:val="center"/>
        <w:rPr>
          <w:rFonts w:ascii="黑体" w:hAnsi="黑体" w:eastAsia="黑体"/>
          <w:color w:val="000000"/>
          <w:sz w:val="40"/>
          <w:szCs w:val="40"/>
        </w:rPr>
      </w:pPr>
    </w:p>
    <w:p w14:paraId="3E6516A7">
      <w:pPr>
        <w:snapToGrid w:val="0"/>
        <w:spacing w:line="360" w:lineRule="auto"/>
        <w:jc w:val="center"/>
        <w:rPr>
          <w:rFonts w:ascii="黑体" w:hAnsi="黑体" w:eastAsia="黑体"/>
          <w:color w:val="000000"/>
          <w:sz w:val="40"/>
          <w:szCs w:val="40"/>
        </w:rPr>
      </w:pPr>
    </w:p>
    <w:p w14:paraId="4722D3B8">
      <w:pPr>
        <w:snapToGrid w:val="0"/>
        <w:spacing w:line="360" w:lineRule="auto"/>
        <w:jc w:val="center"/>
        <w:rPr>
          <w:rFonts w:ascii="黑体" w:hAnsi="黑体" w:eastAsia="黑体"/>
          <w:color w:val="000000"/>
          <w:sz w:val="40"/>
          <w:szCs w:val="40"/>
        </w:rPr>
      </w:pPr>
    </w:p>
    <w:p w14:paraId="1E210586">
      <w:pPr>
        <w:snapToGrid w:val="0"/>
        <w:spacing w:line="360" w:lineRule="auto"/>
        <w:jc w:val="center"/>
        <w:rPr>
          <w:rFonts w:ascii="黑体" w:hAnsi="黑体" w:eastAsia="黑体"/>
          <w:color w:val="000000"/>
          <w:sz w:val="40"/>
          <w:szCs w:val="40"/>
        </w:rPr>
      </w:pPr>
    </w:p>
    <w:p w14:paraId="73DDAAB0">
      <w:pPr>
        <w:snapToGrid w:val="0"/>
        <w:spacing w:line="360" w:lineRule="auto"/>
        <w:jc w:val="center"/>
        <w:rPr>
          <w:rFonts w:ascii="黑体" w:hAnsi="黑体" w:eastAsia="黑体"/>
          <w:color w:val="000000"/>
          <w:sz w:val="40"/>
          <w:szCs w:val="40"/>
        </w:rPr>
      </w:pPr>
    </w:p>
    <w:p w14:paraId="19EA06F2">
      <w:pPr>
        <w:snapToGrid w:val="0"/>
        <w:spacing w:line="360" w:lineRule="auto"/>
        <w:jc w:val="center"/>
        <w:rPr>
          <w:rFonts w:ascii="黑体" w:hAnsi="黑体" w:eastAsia="黑体"/>
          <w:color w:val="000000"/>
          <w:sz w:val="40"/>
          <w:szCs w:val="40"/>
        </w:rPr>
      </w:pPr>
    </w:p>
    <w:p w14:paraId="42191FB2">
      <w:pPr>
        <w:snapToGrid w:val="0"/>
        <w:spacing w:line="360" w:lineRule="auto"/>
        <w:jc w:val="center"/>
        <w:rPr>
          <w:rFonts w:ascii="黑体" w:hAnsi="黑体" w:eastAsia="黑体"/>
          <w:color w:val="000000"/>
          <w:sz w:val="40"/>
          <w:szCs w:val="40"/>
        </w:rPr>
      </w:pPr>
    </w:p>
    <w:p w14:paraId="58E1C8D4">
      <w:pPr>
        <w:snapToGrid w:val="0"/>
        <w:spacing w:line="360" w:lineRule="auto"/>
        <w:jc w:val="center"/>
        <w:rPr>
          <w:rFonts w:ascii="黑体" w:hAnsi="黑体" w:eastAsia="黑体"/>
          <w:color w:val="000000"/>
          <w:sz w:val="40"/>
          <w:szCs w:val="40"/>
        </w:rPr>
      </w:pPr>
      <w:r>
        <w:rPr>
          <w:rFonts w:hint="eastAsia" w:ascii="黑体" w:hAnsi="黑体" w:eastAsia="黑体"/>
          <w:color w:val="000000"/>
          <w:sz w:val="40"/>
          <w:szCs w:val="40"/>
        </w:rPr>
        <w:t>2</w:t>
      </w:r>
      <w:r>
        <w:rPr>
          <w:rFonts w:ascii="黑体" w:hAnsi="黑体" w:eastAsia="黑体"/>
          <w:color w:val="000000"/>
          <w:sz w:val="40"/>
          <w:szCs w:val="40"/>
        </w:rPr>
        <w:t>02</w:t>
      </w:r>
      <w:r>
        <w:rPr>
          <w:rFonts w:hint="eastAsia" w:ascii="黑体" w:hAnsi="黑体" w:eastAsia="黑体"/>
          <w:color w:val="000000"/>
          <w:sz w:val="40"/>
          <w:szCs w:val="40"/>
        </w:rPr>
        <w:t>1</w:t>
      </w:r>
      <w:r>
        <w:rPr>
          <w:rFonts w:ascii="黑体" w:hAnsi="黑体" w:eastAsia="黑体"/>
          <w:color w:val="000000"/>
          <w:sz w:val="40"/>
          <w:szCs w:val="40"/>
        </w:rPr>
        <w:t>年</w:t>
      </w:r>
      <w:r>
        <w:rPr>
          <w:rFonts w:hint="eastAsia" w:ascii="黑体" w:hAnsi="黑体" w:eastAsia="黑体"/>
          <w:color w:val="000000"/>
          <w:sz w:val="40"/>
          <w:szCs w:val="40"/>
        </w:rPr>
        <w:t>1</w:t>
      </w:r>
      <w:r>
        <w:rPr>
          <w:rFonts w:ascii="黑体" w:hAnsi="黑体" w:eastAsia="黑体"/>
          <w:color w:val="000000"/>
          <w:sz w:val="40"/>
          <w:szCs w:val="40"/>
        </w:rPr>
        <w:t>月</w:t>
      </w:r>
    </w:p>
    <w:sdt>
      <w:sdtPr>
        <w:rPr>
          <w:rFonts w:asciiTheme="minorHAnsi" w:hAnsiTheme="minorHAnsi" w:eastAsiaTheme="minorEastAsia" w:cstheme="minorBidi"/>
          <w:color w:val="auto"/>
          <w:kern w:val="2"/>
          <w:sz w:val="21"/>
          <w:szCs w:val="22"/>
          <w:lang w:val="zh-CN"/>
        </w:rPr>
        <w:id w:val="-356425060"/>
        <w:docPartObj>
          <w:docPartGallery w:val="Table of Contents"/>
          <w:docPartUnique/>
        </w:docPartObj>
      </w:sdtPr>
      <w:sdtEndPr>
        <w:rPr>
          <w:rFonts w:asciiTheme="minorHAnsi" w:hAnsiTheme="minorHAnsi" w:eastAsiaTheme="minorEastAsia" w:cstheme="minorBidi"/>
          <w:b/>
          <w:bCs/>
          <w:color w:val="auto"/>
          <w:kern w:val="2"/>
          <w:sz w:val="24"/>
          <w:szCs w:val="24"/>
          <w:lang w:val="zh-CN"/>
        </w:rPr>
      </w:sdtEndPr>
      <w:sdtContent>
        <w:p w14:paraId="4E3D815B">
          <w:pPr>
            <w:pStyle w:val="27"/>
            <w:tabs>
              <w:tab w:val="center" w:pos="4153"/>
              <w:tab w:val="left" w:pos="7511"/>
            </w:tabs>
            <w:spacing w:line="300" w:lineRule="auto"/>
            <w:rPr>
              <w:color w:val="auto"/>
            </w:rPr>
          </w:pPr>
          <w:r>
            <w:rPr>
              <w:rFonts w:asciiTheme="minorHAnsi" w:hAnsiTheme="minorHAnsi" w:eastAsiaTheme="minorEastAsia" w:cstheme="minorBidi"/>
              <w:color w:val="auto"/>
              <w:kern w:val="2"/>
              <w:sz w:val="21"/>
              <w:szCs w:val="22"/>
              <w:lang w:val="zh-CN"/>
            </w:rPr>
            <w:tab/>
          </w:r>
          <w:r>
            <w:rPr>
              <w:color w:val="auto"/>
              <w:lang w:val="zh-CN"/>
            </w:rPr>
            <w:t>目</w:t>
          </w:r>
          <w:r>
            <w:rPr>
              <w:rFonts w:hint="eastAsia"/>
              <w:color w:val="auto"/>
              <w:lang w:val="zh-CN"/>
            </w:rPr>
            <w:t xml:space="preserve"> </w:t>
          </w:r>
          <w:r>
            <w:rPr>
              <w:color w:val="auto"/>
              <w:lang w:val="zh-CN"/>
            </w:rPr>
            <w:t xml:space="preserve"> 录</w:t>
          </w:r>
          <w:r>
            <w:rPr>
              <w:color w:val="auto"/>
              <w:lang w:val="zh-CN"/>
            </w:rPr>
            <w:tab/>
          </w:r>
        </w:p>
        <w:p w14:paraId="366260A4">
          <w:pPr>
            <w:pStyle w:val="10"/>
            <w:tabs>
              <w:tab w:val="right" w:leader="dot" w:pos="8296"/>
            </w:tabs>
            <w:spacing w:line="360" w:lineRule="auto"/>
            <w:rPr>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"_Toc63321793" </w:instrText>
          </w:r>
          <w:r>
            <w:fldChar w:fldCharType="separate"/>
          </w:r>
          <w:r>
            <w:rPr>
              <w:rStyle w:val="16"/>
              <w:b/>
              <w:sz w:val="24"/>
              <w:szCs w:val="24"/>
            </w:rPr>
            <w:t>前   言</w:t>
          </w:r>
          <w:r>
            <w:rPr>
              <w:sz w:val="24"/>
              <w:szCs w:val="24"/>
            </w:rPr>
            <w:tab/>
          </w:r>
          <w:r>
            <w:rPr>
              <w:sz w:val="24"/>
              <w:szCs w:val="24"/>
            </w:rPr>
            <w:fldChar w:fldCharType="begin"/>
          </w:r>
          <w:r>
            <w:rPr>
              <w:sz w:val="24"/>
              <w:szCs w:val="24"/>
            </w:rPr>
            <w:instrText xml:space="preserve"> PAGEREF _Toc63321793 \h </w:instrText>
          </w:r>
          <w:r>
            <w:rPr>
              <w:sz w:val="24"/>
              <w:szCs w:val="24"/>
            </w:rPr>
            <w:fldChar w:fldCharType="separate"/>
          </w:r>
          <w:r>
            <w:rPr>
              <w:sz w:val="24"/>
              <w:szCs w:val="24"/>
            </w:rPr>
            <w:t>1</w:t>
          </w:r>
          <w:r>
            <w:rPr>
              <w:sz w:val="24"/>
              <w:szCs w:val="24"/>
            </w:rPr>
            <w:fldChar w:fldCharType="end"/>
          </w:r>
          <w:r>
            <w:rPr>
              <w:sz w:val="24"/>
              <w:szCs w:val="24"/>
            </w:rPr>
            <w:fldChar w:fldCharType="end"/>
          </w:r>
        </w:p>
        <w:p w14:paraId="7722355D">
          <w:pPr>
            <w:pStyle w:val="10"/>
            <w:tabs>
              <w:tab w:val="right" w:leader="dot" w:pos="8296"/>
            </w:tabs>
            <w:spacing w:line="360" w:lineRule="auto"/>
            <w:rPr>
              <w:sz w:val="24"/>
              <w:szCs w:val="24"/>
            </w:rPr>
          </w:pPr>
          <w:r>
            <w:fldChar w:fldCharType="begin"/>
          </w:r>
          <w:r>
            <w:instrText xml:space="preserve"> HYPERLINK \l "_Toc63321794" </w:instrText>
          </w:r>
          <w:r>
            <w:fldChar w:fldCharType="separate"/>
          </w:r>
          <w:r>
            <w:rPr>
              <w:rStyle w:val="16"/>
              <w:b/>
              <w:sz w:val="24"/>
              <w:szCs w:val="24"/>
            </w:rPr>
            <w:t>第一部分  “十三五”期间天津市建筑业发展回顾</w:t>
          </w:r>
          <w:r>
            <w:rPr>
              <w:sz w:val="24"/>
              <w:szCs w:val="24"/>
            </w:rPr>
            <w:tab/>
          </w:r>
          <w:r>
            <w:rPr>
              <w:sz w:val="24"/>
              <w:szCs w:val="24"/>
            </w:rPr>
            <w:fldChar w:fldCharType="begin"/>
          </w:r>
          <w:r>
            <w:rPr>
              <w:sz w:val="24"/>
              <w:szCs w:val="24"/>
            </w:rPr>
            <w:instrText xml:space="preserve"> PAGEREF _Toc63321794 \h </w:instrText>
          </w:r>
          <w:r>
            <w:rPr>
              <w:sz w:val="24"/>
              <w:szCs w:val="24"/>
            </w:rPr>
            <w:fldChar w:fldCharType="separate"/>
          </w:r>
          <w:r>
            <w:rPr>
              <w:sz w:val="24"/>
              <w:szCs w:val="24"/>
            </w:rPr>
            <w:t>2</w:t>
          </w:r>
          <w:r>
            <w:rPr>
              <w:sz w:val="24"/>
              <w:szCs w:val="24"/>
            </w:rPr>
            <w:fldChar w:fldCharType="end"/>
          </w:r>
          <w:r>
            <w:rPr>
              <w:sz w:val="24"/>
              <w:szCs w:val="24"/>
            </w:rPr>
            <w:fldChar w:fldCharType="end"/>
          </w:r>
        </w:p>
        <w:p w14:paraId="76661D0E">
          <w:pPr>
            <w:pStyle w:val="11"/>
            <w:tabs>
              <w:tab w:val="right" w:leader="dot" w:pos="8296"/>
            </w:tabs>
            <w:spacing w:line="360" w:lineRule="auto"/>
            <w:rPr>
              <w:sz w:val="24"/>
              <w:szCs w:val="24"/>
            </w:rPr>
          </w:pPr>
          <w:r>
            <w:fldChar w:fldCharType="begin"/>
          </w:r>
          <w:r>
            <w:instrText xml:space="preserve"> HYPERLINK \l "_Toc63321795" </w:instrText>
          </w:r>
          <w:r>
            <w:fldChar w:fldCharType="separate"/>
          </w:r>
          <w:r>
            <w:rPr>
              <w:rStyle w:val="16"/>
              <w:b/>
              <w:sz w:val="24"/>
              <w:szCs w:val="24"/>
            </w:rPr>
            <w:t>一、总体上保持稳步发展</w:t>
          </w:r>
          <w:r>
            <w:rPr>
              <w:sz w:val="24"/>
              <w:szCs w:val="24"/>
            </w:rPr>
            <w:tab/>
          </w:r>
          <w:r>
            <w:rPr>
              <w:sz w:val="24"/>
              <w:szCs w:val="24"/>
            </w:rPr>
            <w:fldChar w:fldCharType="begin"/>
          </w:r>
          <w:r>
            <w:rPr>
              <w:sz w:val="24"/>
              <w:szCs w:val="24"/>
            </w:rPr>
            <w:instrText xml:space="preserve"> PAGEREF _Toc63321795 \h </w:instrText>
          </w:r>
          <w:r>
            <w:rPr>
              <w:sz w:val="24"/>
              <w:szCs w:val="24"/>
            </w:rPr>
            <w:fldChar w:fldCharType="separate"/>
          </w:r>
          <w:r>
            <w:rPr>
              <w:sz w:val="24"/>
              <w:szCs w:val="24"/>
            </w:rPr>
            <w:t>2</w:t>
          </w:r>
          <w:r>
            <w:rPr>
              <w:sz w:val="24"/>
              <w:szCs w:val="24"/>
            </w:rPr>
            <w:fldChar w:fldCharType="end"/>
          </w:r>
          <w:r>
            <w:rPr>
              <w:sz w:val="24"/>
              <w:szCs w:val="24"/>
            </w:rPr>
            <w:fldChar w:fldCharType="end"/>
          </w:r>
        </w:p>
        <w:p w14:paraId="46758E0F">
          <w:pPr>
            <w:pStyle w:val="11"/>
            <w:tabs>
              <w:tab w:val="right" w:leader="dot" w:pos="8296"/>
            </w:tabs>
            <w:spacing w:line="360" w:lineRule="auto"/>
            <w:rPr>
              <w:sz w:val="24"/>
              <w:szCs w:val="24"/>
            </w:rPr>
          </w:pPr>
          <w:r>
            <w:fldChar w:fldCharType="begin"/>
          </w:r>
          <w:r>
            <w:instrText xml:space="preserve"> HYPERLINK \l "_Toc63321796" </w:instrText>
          </w:r>
          <w:r>
            <w:fldChar w:fldCharType="separate"/>
          </w:r>
          <w:r>
            <w:rPr>
              <w:rStyle w:val="16"/>
              <w:b/>
              <w:sz w:val="24"/>
              <w:szCs w:val="24"/>
            </w:rPr>
            <w:t>二、全方位完善、持续改进</w:t>
          </w:r>
          <w:r>
            <w:rPr>
              <w:sz w:val="24"/>
              <w:szCs w:val="24"/>
            </w:rPr>
            <w:tab/>
          </w:r>
          <w:r>
            <w:rPr>
              <w:sz w:val="24"/>
              <w:szCs w:val="24"/>
            </w:rPr>
            <w:fldChar w:fldCharType="begin"/>
          </w:r>
          <w:r>
            <w:rPr>
              <w:sz w:val="24"/>
              <w:szCs w:val="24"/>
            </w:rPr>
            <w:instrText xml:space="preserve"> PAGEREF _Toc63321796 \h </w:instrText>
          </w:r>
          <w:r>
            <w:rPr>
              <w:sz w:val="24"/>
              <w:szCs w:val="24"/>
            </w:rPr>
            <w:fldChar w:fldCharType="separate"/>
          </w:r>
          <w:r>
            <w:rPr>
              <w:sz w:val="24"/>
              <w:szCs w:val="24"/>
            </w:rPr>
            <w:t>2</w:t>
          </w:r>
          <w:r>
            <w:rPr>
              <w:sz w:val="24"/>
              <w:szCs w:val="24"/>
            </w:rPr>
            <w:fldChar w:fldCharType="end"/>
          </w:r>
          <w:r>
            <w:rPr>
              <w:sz w:val="24"/>
              <w:szCs w:val="24"/>
            </w:rPr>
            <w:fldChar w:fldCharType="end"/>
          </w:r>
        </w:p>
        <w:p w14:paraId="26D7A58D">
          <w:pPr>
            <w:pStyle w:val="6"/>
            <w:tabs>
              <w:tab w:val="right" w:leader="dot" w:pos="8296"/>
            </w:tabs>
            <w:spacing w:line="360" w:lineRule="auto"/>
            <w:rPr>
              <w:sz w:val="24"/>
              <w:szCs w:val="24"/>
            </w:rPr>
          </w:pPr>
          <w:r>
            <w:fldChar w:fldCharType="begin"/>
          </w:r>
          <w:r>
            <w:instrText xml:space="preserve"> HYPERLINK \l "_Toc63321797" </w:instrText>
          </w:r>
          <w:r>
            <w:fldChar w:fldCharType="separate"/>
          </w:r>
          <w:r>
            <w:rPr>
              <w:rStyle w:val="16"/>
              <w:sz w:val="24"/>
              <w:szCs w:val="24"/>
            </w:rPr>
            <w:t>（一）建筑市场生态不断优化</w:t>
          </w:r>
          <w:r>
            <w:rPr>
              <w:sz w:val="24"/>
              <w:szCs w:val="24"/>
            </w:rPr>
            <w:tab/>
          </w:r>
          <w:r>
            <w:rPr>
              <w:sz w:val="24"/>
              <w:szCs w:val="24"/>
            </w:rPr>
            <w:fldChar w:fldCharType="begin"/>
          </w:r>
          <w:r>
            <w:rPr>
              <w:sz w:val="24"/>
              <w:szCs w:val="24"/>
            </w:rPr>
            <w:instrText xml:space="preserve"> PAGEREF _Toc63321797 \h </w:instrText>
          </w:r>
          <w:r>
            <w:rPr>
              <w:sz w:val="24"/>
              <w:szCs w:val="24"/>
            </w:rPr>
            <w:fldChar w:fldCharType="separate"/>
          </w:r>
          <w:r>
            <w:rPr>
              <w:sz w:val="24"/>
              <w:szCs w:val="24"/>
            </w:rPr>
            <w:t>2</w:t>
          </w:r>
          <w:r>
            <w:rPr>
              <w:sz w:val="24"/>
              <w:szCs w:val="24"/>
            </w:rPr>
            <w:fldChar w:fldCharType="end"/>
          </w:r>
          <w:r>
            <w:rPr>
              <w:sz w:val="24"/>
              <w:szCs w:val="24"/>
            </w:rPr>
            <w:fldChar w:fldCharType="end"/>
          </w:r>
        </w:p>
        <w:p w14:paraId="39F6CC5E">
          <w:pPr>
            <w:pStyle w:val="6"/>
            <w:tabs>
              <w:tab w:val="right" w:leader="dot" w:pos="8296"/>
            </w:tabs>
            <w:spacing w:line="360" w:lineRule="auto"/>
            <w:rPr>
              <w:sz w:val="24"/>
              <w:szCs w:val="24"/>
            </w:rPr>
          </w:pPr>
          <w:r>
            <w:fldChar w:fldCharType="begin"/>
          </w:r>
          <w:r>
            <w:instrText xml:space="preserve"> HYPERLINK \l "_Toc63321798" </w:instrText>
          </w:r>
          <w:r>
            <w:fldChar w:fldCharType="separate"/>
          </w:r>
          <w:r>
            <w:rPr>
              <w:rStyle w:val="16"/>
              <w:sz w:val="24"/>
              <w:szCs w:val="24"/>
            </w:rPr>
            <w:t>（二）招投标监管工作成效显著</w:t>
          </w:r>
          <w:r>
            <w:rPr>
              <w:sz w:val="24"/>
              <w:szCs w:val="24"/>
            </w:rPr>
            <w:tab/>
          </w:r>
          <w:r>
            <w:rPr>
              <w:sz w:val="24"/>
              <w:szCs w:val="24"/>
            </w:rPr>
            <w:fldChar w:fldCharType="begin"/>
          </w:r>
          <w:r>
            <w:rPr>
              <w:sz w:val="24"/>
              <w:szCs w:val="24"/>
            </w:rPr>
            <w:instrText xml:space="preserve"> PAGEREF _Toc63321798 \h </w:instrText>
          </w:r>
          <w:r>
            <w:rPr>
              <w:sz w:val="24"/>
              <w:szCs w:val="24"/>
            </w:rPr>
            <w:fldChar w:fldCharType="separate"/>
          </w:r>
          <w:r>
            <w:rPr>
              <w:sz w:val="24"/>
              <w:szCs w:val="24"/>
            </w:rPr>
            <w:t>3</w:t>
          </w:r>
          <w:r>
            <w:rPr>
              <w:sz w:val="24"/>
              <w:szCs w:val="24"/>
            </w:rPr>
            <w:fldChar w:fldCharType="end"/>
          </w:r>
          <w:r>
            <w:rPr>
              <w:sz w:val="24"/>
              <w:szCs w:val="24"/>
            </w:rPr>
            <w:fldChar w:fldCharType="end"/>
          </w:r>
        </w:p>
        <w:p w14:paraId="4C0B0A30">
          <w:pPr>
            <w:pStyle w:val="6"/>
            <w:tabs>
              <w:tab w:val="right" w:leader="dot" w:pos="8296"/>
            </w:tabs>
            <w:spacing w:line="360" w:lineRule="auto"/>
            <w:rPr>
              <w:sz w:val="24"/>
              <w:szCs w:val="24"/>
            </w:rPr>
          </w:pPr>
          <w:r>
            <w:fldChar w:fldCharType="begin"/>
          </w:r>
          <w:r>
            <w:instrText xml:space="preserve"> HYPERLINK \l "_Toc63321799" </w:instrText>
          </w:r>
          <w:r>
            <w:fldChar w:fldCharType="separate"/>
          </w:r>
          <w:r>
            <w:rPr>
              <w:rStyle w:val="16"/>
              <w:sz w:val="24"/>
              <w:szCs w:val="24"/>
            </w:rPr>
            <w:t>（三）建筑市场信用体系进一步完善</w:t>
          </w:r>
          <w:r>
            <w:rPr>
              <w:sz w:val="24"/>
              <w:szCs w:val="24"/>
            </w:rPr>
            <w:tab/>
          </w:r>
          <w:r>
            <w:rPr>
              <w:sz w:val="24"/>
              <w:szCs w:val="24"/>
            </w:rPr>
            <w:fldChar w:fldCharType="begin"/>
          </w:r>
          <w:r>
            <w:rPr>
              <w:sz w:val="24"/>
              <w:szCs w:val="24"/>
            </w:rPr>
            <w:instrText xml:space="preserve"> PAGEREF _Toc63321799 \h </w:instrText>
          </w:r>
          <w:r>
            <w:rPr>
              <w:sz w:val="24"/>
              <w:szCs w:val="24"/>
            </w:rPr>
            <w:fldChar w:fldCharType="separate"/>
          </w:r>
          <w:r>
            <w:rPr>
              <w:sz w:val="24"/>
              <w:szCs w:val="24"/>
            </w:rPr>
            <w:t>3</w:t>
          </w:r>
          <w:r>
            <w:rPr>
              <w:sz w:val="24"/>
              <w:szCs w:val="24"/>
            </w:rPr>
            <w:fldChar w:fldCharType="end"/>
          </w:r>
          <w:r>
            <w:rPr>
              <w:sz w:val="24"/>
              <w:szCs w:val="24"/>
            </w:rPr>
            <w:fldChar w:fldCharType="end"/>
          </w:r>
        </w:p>
        <w:p w14:paraId="5E92BDAF">
          <w:pPr>
            <w:pStyle w:val="6"/>
            <w:tabs>
              <w:tab w:val="right" w:leader="dot" w:pos="8296"/>
            </w:tabs>
            <w:spacing w:line="360" w:lineRule="auto"/>
            <w:rPr>
              <w:sz w:val="24"/>
              <w:szCs w:val="24"/>
            </w:rPr>
          </w:pPr>
          <w:r>
            <w:fldChar w:fldCharType="begin"/>
          </w:r>
          <w:r>
            <w:instrText xml:space="preserve"> HYPERLINK \l "_Toc63321800" </w:instrText>
          </w:r>
          <w:r>
            <w:fldChar w:fldCharType="separate"/>
          </w:r>
          <w:r>
            <w:rPr>
              <w:rStyle w:val="16"/>
              <w:sz w:val="24"/>
              <w:szCs w:val="24"/>
            </w:rPr>
            <w:t>（四）工程总承包模式持续推进</w:t>
          </w:r>
          <w:r>
            <w:rPr>
              <w:sz w:val="24"/>
              <w:szCs w:val="24"/>
            </w:rPr>
            <w:tab/>
          </w:r>
          <w:r>
            <w:rPr>
              <w:sz w:val="24"/>
              <w:szCs w:val="24"/>
            </w:rPr>
            <w:fldChar w:fldCharType="begin"/>
          </w:r>
          <w:r>
            <w:rPr>
              <w:sz w:val="24"/>
              <w:szCs w:val="24"/>
            </w:rPr>
            <w:instrText xml:space="preserve"> PAGEREF _Toc63321800 \h </w:instrText>
          </w:r>
          <w:r>
            <w:rPr>
              <w:sz w:val="24"/>
              <w:szCs w:val="24"/>
            </w:rPr>
            <w:fldChar w:fldCharType="separate"/>
          </w:r>
          <w:r>
            <w:rPr>
              <w:sz w:val="24"/>
              <w:szCs w:val="24"/>
            </w:rPr>
            <w:t>4</w:t>
          </w:r>
          <w:r>
            <w:rPr>
              <w:sz w:val="24"/>
              <w:szCs w:val="24"/>
            </w:rPr>
            <w:fldChar w:fldCharType="end"/>
          </w:r>
          <w:r>
            <w:rPr>
              <w:sz w:val="24"/>
              <w:szCs w:val="24"/>
            </w:rPr>
            <w:fldChar w:fldCharType="end"/>
          </w:r>
        </w:p>
        <w:p w14:paraId="3E83D225">
          <w:pPr>
            <w:pStyle w:val="6"/>
            <w:tabs>
              <w:tab w:val="right" w:leader="dot" w:pos="8296"/>
            </w:tabs>
            <w:spacing w:line="360" w:lineRule="auto"/>
            <w:rPr>
              <w:sz w:val="24"/>
              <w:szCs w:val="24"/>
            </w:rPr>
          </w:pPr>
          <w:r>
            <w:fldChar w:fldCharType="begin"/>
          </w:r>
          <w:r>
            <w:instrText xml:space="preserve"> HYPERLINK \l "_Toc63321801" </w:instrText>
          </w:r>
          <w:r>
            <w:fldChar w:fldCharType="separate"/>
          </w:r>
          <w:r>
            <w:rPr>
              <w:rStyle w:val="16"/>
              <w:sz w:val="24"/>
              <w:szCs w:val="24"/>
            </w:rPr>
            <w:t>（五）工程造价管理进一步加强</w:t>
          </w:r>
          <w:r>
            <w:rPr>
              <w:sz w:val="24"/>
              <w:szCs w:val="24"/>
            </w:rPr>
            <w:tab/>
          </w:r>
          <w:r>
            <w:rPr>
              <w:sz w:val="24"/>
              <w:szCs w:val="24"/>
            </w:rPr>
            <w:fldChar w:fldCharType="begin"/>
          </w:r>
          <w:r>
            <w:rPr>
              <w:sz w:val="24"/>
              <w:szCs w:val="24"/>
            </w:rPr>
            <w:instrText xml:space="preserve"> PAGEREF _Toc63321801 \h </w:instrText>
          </w:r>
          <w:r>
            <w:rPr>
              <w:sz w:val="24"/>
              <w:szCs w:val="24"/>
            </w:rPr>
            <w:fldChar w:fldCharType="separate"/>
          </w:r>
          <w:r>
            <w:rPr>
              <w:sz w:val="24"/>
              <w:szCs w:val="24"/>
            </w:rPr>
            <w:t>5</w:t>
          </w:r>
          <w:r>
            <w:rPr>
              <w:sz w:val="24"/>
              <w:szCs w:val="24"/>
            </w:rPr>
            <w:fldChar w:fldCharType="end"/>
          </w:r>
          <w:r>
            <w:rPr>
              <w:sz w:val="24"/>
              <w:szCs w:val="24"/>
            </w:rPr>
            <w:fldChar w:fldCharType="end"/>
          </w:r>
        </w:p>
        <w:p w14:paraId="62219AAC">
          <w:pPr>
            <w:pStyle w:val="6"/>
            <w:tabs>
              <w:tab w:val="right" w:leader="dot" w:pos="8296"/>
            </w:tabs>
            <w:spacing w:line="360" w:lineRule="auto"/>
            <w:rPr>
              <w:sz w:val="24"/>
              <w:szCs w:val="24"/>
            </w:rPr>
          </w:pPr>
          <w:r>
            <w:fldChar w:fldCharType="begin"/>
          </w:r>
          <w:r>
            <w:instrText xml:space="preserve"> HYPERLINK \l "_Toc63321802" </w:instrText>
          </w:r>
          <w:r>
            <w:fldChar w:fldCharType="separate"/>
          </w:r>
          <w:r>
            <w:rPr>
              <w:rStyle w:val="16"/>
              <w:sz w:val="24"/>
              <w:szCs w:val="24"/>
            </w:rPr>
            <w:t>（六）质量安全水平稳步提升</w:t>
          </w:r>
          <w:r>
            <w:rPr>
              <w:sz w:val="24"/>
              <w:szCs w:val="24"/>
            </w:rPr>
            <w:tab/>
          </w:r>
          <w:r>
            <w:rPr>
              <w:sz w:val="24"/>
              <w:szCs w:val="24"/>
            </w:rPr>
            <w:fldChar w:fldCharType="begin"/>
          </w:r>
          <w:r>
            <w:rPr>
              <w:sz w:val="24"/>
              <w:szCs w:val="24"/>
            </w:rPr>
            <w:instrText xml:space="preserve"> PAGEREF _Toc63321802 \h </w:instrText>
          </w:r>
          <w:r>
            <w:rPr>
              <w:sz w:val="24"/>
              <w:szCs w:val="24"/>
            </w:rPr>
            <w:fldChar w:fldCharType="separate"/>
          </w:r>
          <w:r>
            <w:rPr>
              <w:sz w:val="24"/>
              <w:szCs w:val="24"/>
            </w:rPr>
            <w:t>5</w:t>
          </w:r>
          <w:r>
            <w:rPr>
              <w:sz w:val="24"/>
              <w:szCs w:val="24"/>
            </w:rPr>
            <w:fldChar w:fldCharType="end"/>
          </w:r>
          <w:r>
            <w:rPr>
              <w:sz w:val="24"/>
              <w:szCs w:val="24"/>
            </w:rPr>
            <w:fldChar w:fldCharType="end"/>
          </w:r>
        </w:p>
        <w:p w14:paraId="3E37B265">
          <w:pPr>
            <w:pStyle w:val="6"/>
            <w:tabs>
              <w:tab w:val="right" w:leader="dot" w:pos="8296"/>
            </w:tabs>
            <w:spacing w:line="360" w:lineRule="auto"/>
            <w:rPr>
              <w:sz w:val="24"/>
              <w:szCs w:val="24"/>
            </w:rPr>
          </w:pPr>
          <w:r>
            <w:fldChar w:fldCharType="begin"/>
          </w:r>
          <w:r>
            <w:instrText xml:space="preserve"> HYPERLINK \l "_Toc63321803" </w:instrText>
          </w:r>
          <w:r>
            <w:fldChar w:fldCharType="separate"/>
          </w:r>
          <w:r>
            <w:rPr>
              <w:rStyle w:val="16"/>
              <w:sz w:val="24"/>
              <w:szCs w:val="24"/>
            </w:rPr>
            <w:t>（七）文明绿色施工水平持续提高</w:t>
          </w:r>
          <w:r>
            <w:rPr>
              <w:sz w:val="24"/>
              <w:szCs w:val="24"/>
            </w:rPr>
            <w:tab/>
          </w:r>
          <w:r>
            <w:rPr>
              <w:sz w:val="24"/>
              <w:szCs w:val="24"/>
            </w:rPr>
            <w:fldChar w:fldCharType="begin"/>
          </w:r>
          <w:r>
            <w:rPr>
              <w:sz w:val="24"/>
              <w:szCs w:val="24"/>
            </w:rPr>
            <w:instrText xml:space="preserve"> PAGEREF _Toc63321803 \h </w:instrText>
          </w:r>
          <w:r>
            <w:rPr>
              <w:sz w:val="24"/>
              <w:szCs w:val="24"/>
            </w:rPr>
            <w:fldChar w:fldCharType="separate"/>
          </w:r>
          <w:r>
            <w:rPr>
              <w:sz w:val="24"/>
              <w:szCs w:val="24"/>
            </w:rPr>
            <w:t>6</w:t>
          </w:r>
          <w:r>
            <w:rPr>
              <w:sz w:val="24"/>
              <w:szCs w:val="24"/>
            </w:rPr>
            <w:fldChar w:fldCharType="end"/>
          </w:r>
          <w:r>
            <w:rPr>
              <w:sz w:val="24"/>
              <w:szCs w:val="24"/>
            </w:rPr>
            <w:fldChar w:fldCharType="end"/>
          </w:r>
        </w:p>
        <w:p w14:paraId="79C39478">
          <w:pPr>
            <w:pStyle w:val="6"/>
            <w:tabs>
              <w:tab w:val="right" w:leader="dot" w:pos="8296"/>
            </w:tabs>
            <w:spacing w:line="360" w:lineRule="auto"/>
            <w:rPr>
              <w:sz w:val="24"/>
              <w:szCs w:val="24"/>
            </w:rPr>
          </w:pPr>
          <w:r>
            <w:fldChar w:fldCharType="begin"/>
          </w:r>
          <w:r>
            <w:instrText xml:space="preserve"> HYPERLINK \l "_Toc63321804" </w:instrText>
          </w:r>
          <w:r>
            <w:fldChar w:fldCharType="separate"/>
          </w:r>
          <w:r>
            <w:rPr>
              <w:rStyle w:val="16"/>
              <w:sz w:val="24"/>
              <w:szCs w:val="24"/>
            </w:rPr>
            <w:t>（八）劳务用工管理日趋规范</w:t>
          </w:r>
          <w:r>
            <w:rPr>
              <w:sz w:val="24"/>
              <w:szCs w:val="24"/>
            </w:rPr>
            <w:tab/>
          </w:r>
          <w:r>
            <w:rPr>
              <w:sz w:val="24"/>
              <w:szCs w:val="24"/>
            </w:rPr>
            <w:fldChar w:fldCharType="begin"/>
          </w:r>
          <w:r>
            <w:rPr>
              <w:sz w:val="24"/>
              <w:szCs w:val="24"/>
            </w:rPr>
            <w:instrText xml:space="preserve"> PAGEREF _Toc63321804 \h </w:instrText>
          </w:r>
          <w:r>
            <w:rPr>
              <w:sz w:val="24"/>
              <w:szCs w:val="24"/>
            </w:rPr>
            <w:fldChar w:fldCharType="separate"/>
          </w:r>
          <w:r>
            <w:rPr>
              <w:sz w:val="24"/>
              <w:szCs w:val="24"/>
            </w:rPr>
            <w:t>6</w:t>
          </w:r>
          <w:r>
            <w:rPr>
              <w:sz w:val="24"/>
              <w:szCs w:val="24"/>
            </w:rPr>
            <w:fldChar w:fldCharType="end"/>
          </w:r>
          <w:r>
            <w:rPr>
              <w:sz w:val="24"/>
              <w:szCs w:val="24"/>
            </w:rPr>
            <w:fldChar w:fldCharType="end"/>
          </w:r>
        </w:p>
        <w:p w14:paraId="5F23C03E">
          <w:pPr>
            <w:pStyle w:val="10"/>
            <w:tabs>
              <w:tab w:val="right" w:leader="dot" w:pos="8296"/>
            </w:tabs>
            <w:spacing w:line="360" w:lineRule="auto"/>
            <w:rPr>
              <w:sz w:val="24"/>
              <w:szCs w:val="24"/>
            </w:rPr>
          </w:pPr>
          <w:r>
            <w:fldChar w:fldCharType="begin"/>
          </w:r>
          <w:r>
            <w:instrText xml:space="preserve"> HYPERLINK \l "_Toc63321805" </w:instrText>
          </w:r>
          <w:r>
            <w:fldChar w:fldCharType="separate"/>
          </w:r>
          <w:r>
            <w:rPr>
              <w:rStyle w:val="16"/>
              <w:b/>
              <w:sz w:val="24"/>
              <w:szCs w:val="24"/>
            </w:rPr>
            <w:t>第二部分 “十四五”时期天津市建筑业发展形势</w:t>
          </w:r>
          <w:r>
            <w:rPr>
              <w:sz w:val="24"/>
              <w:szCs w:val="24"/>
            </w:rPr>
            <w:tab/>
          </w:r>
          <w:r>
            <w:rPr>
              <w:sz w:val="24"/>
              <w:szCs w:val="24"/>
            </w:rPr>
            <w:fldChar w:fldCharType="begin"/>
          </w:r>
          <w:r>
            <w:rPr>
              <w:sz w:val="24"/>
              <w:szCs w:val="24"/>
            </w:rPr>
            <w:instrText xml:space="preserve"> PAGEREF _Toc63321805 \h </w:instrText>
          </w:r>
          <w:r>
            <w:rPr>
              <w:sz w:val="24"/>
              <w:szCs w:val="24"/>
            </w:rPr>
            <w:fldChar w:fldCharType="separate"/>
          </w:r>
          <w:r>
            <w:rPr>
              <w:sz w:val="24"/>
              <w:szCs w:val="24"/>
            </w:rPr>
            <w:t>8</w:t>
          </w:r>
          <w:r>
            <w:rPr>
              <w:sz w:val="24"/>
              <w:szCs w:val="24"/>
            </w:rPr>
            <w:fldChar w:fldCharType="end"/>
          </w:r>
          <w:r>
            <w:rPr>
              <w:sz w:val="24"/>
              <w:szCs w:val="24"/>
            </w:rPr>
            <w:fldChar w:fldCharType="end"/>
          </w:r>
        </w:p>
        <w:p w14:paraId="79930614">
          <w:pPr>
            <w:pStyle w:val="11"/>
            <w:tabs>
              <w:tab w:val="right" w:leader="dot" w:pos="8296"/>
            </w:tabs>
            <w:spacing w:line="360" w:lineRule="auto"/>
            <w:rPr>
              <w:sz w:val="24"/>
              <w:szCs w:val="24"/>
            </w:rPr>
          </w:pPr>
          <w:r>
            <w:fldChar w:fldCharType="begin"/>
          </w:r>
          <w:r>
            <w:instrText xml:space="preserve"> HYPERLINK \l "_Toc63321806" </w:instrText>
          </w:r>
          <w:r>
            <w:fldChar w:fldCharType="separate"/>
          </w:r>
          <w:r>
            <w:rPr>
              <w:rStyle w:val="16"/>
              <w:b/>
              <w:sz w:val="24"/>
              <w:szCs w:val="24"/>
            </w:rPr>
            <w:t>一、基础设施投资将出现明显增长</w:t>
          </w:r>
          <w:r>
            <w:rPr>
              <w:sz w:val="24"/>
              <w:szCs w:val="24"/>
            </w:rPr>
            <w:tab/>
          </w:r>
          <w:r>
            <w:rPr>
              <w:sz w:val="24"/>
              <w:szCs w:val="24"/>
            </w:rPr>
            <w:fldChar w:fldCharType="begin"/>
          </w:r>
          <w:r>
            <w:rPr>
              <w:sz w:val="24"/>
              <w:szCs w:val="24"/>
            </w:rPr>
            <w:instrText xml:space="preserve"> PAGEREF _Toc63321806 \h </w:instrText>
          </w:r>
          <w:r>
            <w:rPr>
              <w:sz w:val="24"/>
              <w:szCs w:val="24"/>
            </w:rPr>
            <w:fldChar w:fldCharType="separate"/>
          </w:r>
          <w:r>
            <w:rPr>
              <w:sz w:val="24"/>
              <w:szCs w:val="24"/>
            </w:rPr>
            <w:t>8</w:t>
          </w:r>
          <w:r>
            <w:rPr>
              <w:sz w:val="24"/>
              <w:szCs w:val="24"/>
            </w:rPr>
            <w:fldChar w:fldCharType="end"/>
          </w:r>
          <w:r>
            <w:rPr>
              <w:sz w:val="24"/>
              <w:szCs w:val="24"/>
            </w:rPr>
            <w:fldChar w:fldCharType="end"/>
          </w:r>
        </w:p>
        <w:p w14:paraId="185D1B43">
          <w:pPr>
            <w:pStyle w:val="11"/>
            <w:tabs>
              <w:tab w:val="right" w:leader="dot" w:pos="8296"/>
            </w:tabs>
            <w:spacing w:line="360" w:lineRule="auto"/>
            <w:rPr>
              <w:sz w:val="24"/>
              <w:szCs w:val="24"/>
            </w:rPr>
          </w:pPr>
          <w:r>
            <w:fldChar w:fldCharType="begin"/>
          </w:r>
          <w:r>
            <w:instrText xml:space="preserve"> HYPERLINK \l "_Toc63321807" </w:instrText>
          </w:r>
          <w:r>
            <w:fldChar w:fldCharType="separate"/>
          </w:r>
          <w:r>
            <w:rPr>
              <w:rStyle w:val="16"/>
              <w:b/>
              <w:sz w:val="24"/>
              <w:szCs w:val="24"/>
            </w:rPr>
            <w:t>二、城市更新市场潜力巨大</w:t>
          </w:r>
          <w:r>
            <w:rPr>
              <w:sz w:val="24"/>
              <w:szCs w:val="24"/>
            </w:rPr>
            <w:tab/>
          </w:r>
          <w:r>
            <w:rPr>
              <w:sz w:val="24"/>
              <w:szCs w:val="24"/>
            </w:rPr>
            <w:fldChar w:fldCharType="begin"/>
          </w:r>
          <w:r>
            <w:rPr>
              <w:sz w:val="24"/>
              <w:szCs w:val="24"/>
            </w:rPr>
            <w:instrText xml:space="preserve"> PAGEREF _Toc63321807 \h </w:instrText>
          </w:r>
          <w:r>
            <w:rPr>
              <w:sz w:val="24"/>
              <w:szCs w:val="24"/>
            </w:rPr>
            <w:fldChar w:fldCharType="separate"/>
          </w:r>
          <w:r>
            <w:rPr>
              <w:sz w:val="24"/>
              <w:szCs w:val="24"/>
            </w:rPr>
            <w:t>8</w:t>
          </w:r>
          <w:r>
            <w:rPr>
              <w:sz w:val="24"/>
              <w:szCs w:val="24"/>
            </w:rPr>
            <w:fldChar w:fldCharType="end"/>
          </w:r>
          <w:r>
            <w:rPr>
              <w:sz w:val="24"/>
              <w:szCs w:val="24"/>
            </w:rPr>
            <w:fldChar w:fldCharType="end"/>
          </w:r>
        </w:p>
        <w:p w14:paraId="46EBA5B1">
          <w:pPr>
            <w:pStyle w:val="11"/>
            <w:tabs>
              <w:tab w:val="right" w:leader="dot" w:pos="8296"/>
            </w:tabs>
            <w:spacing w:line="360" w:lineRule="auto"/>
            <w:rPr>
              <w:sz w:val="24"/>
              <w:szCs w:val="24"/>
            </w:rPr>
          </w:pPr>
          <w:r>
            <w:fldChar w:fldCharType="begin"/>
          </w:r>
          <w:r>
            <w:instrText xml:space="preserve"> HYPERLINK \l "_Toc63321808" </w:instrText>
          </w:r>
          <w:r>
            <w:fldChar w:fldCharType="separate"/>
          </w:r>
          <w:r>
            <w:rPr>
              <w:rStyle w:val="16"/>
              <w:b/>
              <w:sz w:val="24"/>
              <w:szCs w:val="24"/>
            </w:rPr>
            <w:t>三、技术发展与产业链融合提供了建筑业发展空间</w:t>
          </w:r>
          <w:r>
            <w:rPr>
              <w:sz w:val="24"/>
              <w:szCs w:val="24"/>
            </w:rPr>
            <w:tab/>
          </w:r>
          <w:r>
            <w:rPr>
              <w:sz w:val="24"/>
              <w:szCs w:val="24"/>
            </w:rPr>
            <w:fldChar w:fldCharType="begin"/>
          </w:r>
          <w:r>
            <w:rPr>
              <w:sz w:val="24"/>
              <w:szCs w:val="24"/>
            </w:rPr>
            <w:instrText xml:space="preserve"> PAGEREF _Toc63321808 \h </w:instrText>
          </w:r>
          <w:r>
            <w:rPr>
              <w:sz w:val="24"/>
              <w:szCs w:val="24"/>
            </w:rPr>
            <w:fldChar w:fldCharType="separate"/>
          </w:r>
          <w:r>
            <w:rPr>
              <w:sz w:val="24"/>
              <w:szCs w:val="24"/>
            </w:rPr>
            <w:t>9</w:t>
          </w:r>
          <w:r>
            <w:rPr>
              <w:sz w:val="24"/>
              <w:szCs w:val="24"/>
            </w:rPr>
            <w:fldChar w:fldCharType="end"/>
          </w:r>
          <w:r>
            <w:rPr>
              <w:sz w:val="24"/>
              <w:szCs w:val="24"/>
            </w:rPr>
            <w:fldChar w:fldCharType="end"/>
          </w:r>
        </w:p>
        <w:p w14:paraId="594054A9">
          <w:pPr>
            <w:pStyle w:val="11"/>
            <w:tabs>
              <w:tab w:val="right" w:leader="dot" w:pos="8296"/>
            </w:tabs>
            <w:spacing w:line="360" w:lineRule="auto"/>
            <w:rPr>
              <w:sz w:val="24"/>
              <w:szCs w:val="24"/>
            </w:rPr>
          </w:pPr>
          <w:r>
            <w:fldChar w:fldCharType="begin"/>
          </w:r>
          <w:r>
            <w:instrText xml:space="preserve"> HYPERLINK \l "_Toc63321809" </w:instrText>
          </w:r>
          <w:r>
            <w:fldChar w:fldCharType="separate"/>
          </w:r>
          <w:r>
            <w:rPr>
              <w:rStyle w:val="16"/>
              <w:b/>
              <w:sz w:val="24"/>
              <w:szCs w:val="24"/>
            </w:rPr>
            <w:t>四、宏观发展环境面临复杂变化</w:t>
          </w:r>
          <w:r>
            <w:rPr>
              <w:sz w:val="24"/>
              <w:szCs w:val="24"/>
            </w:rPr>
            <w:tab/>
          </w:r>
          <w:r>
            <w:rPr>
              <w:sz w:val="24"/>
              <w:szCs w:val="24"/>
            </w:rPr>
            <w:fldChar w:fldCharType="begin"/>
          </w:r>
          <w:r>
            <w:rPr>
              <w:sz w:val="24"/>
              <w:szCs w:val="24"/>
            </w:rPr>
            <w:instrText xml:space="preserve"> PAGEREF _Toc63321809 \h </w:instrText>
          </w:r>
          <w:r>
            <w:rPr>
              <w:sz w:val="24"/>
              <w:szCs w:val="24"/>
            </w:rPr>
            <w:fldChar w:fldCharType="separate"/>
          </w:r>
          <w:r>
            <w:rPr>
              <w:sz w:val="24"/>
              <w:szCs w:val="24"/>
            </w:rPr>
            <w:t>9</w:t>
          </w:r>
          <w:r>
            <w:rPr>
              <w:sz w:val="24"/>
              <w:szCs w:val="24"/>
            </w:rPr>
            <w:fldChar w:fldCharType="end"/>
          </w:r>
          <w:r>
            <w:rPr>
              <w:sz w:val="24"/>
              <w:szCs w:val="24"/>
            </w:rPr>
            <w:fldChar w:fldCharType="end"/>
          </w:r>
        </w:p>
        <w:p w14:paraId="13FCBDAD">
          <w:pPr>
            <w:pStyle w:val="11"/>
            <w:tabs>
              <w:tab w:val="right" w:leader="dot" w:pos="8296"/>
            </w:tabs>
            <w:spacing w:line="360" w:lineRule="auto"/>
            <w:rPr>
              <w:sz w:val="24"/>
              <w:szCs w:val="24"/>
            </w:rPr>
          </w:pPr>
          <w:r>
            <w:fldChar w:fldCharType="begin"/>
          </w:r>
          <w:r>
            <w:instrText xml:space="preserve"> HYPERLINK \l "_Toc63321810" </w:instrText>
          </w:r>
          <w:r>
            <w:fldChar w:fldCharType="separate"/>
          </w:r>
          <w:r>
            <w:rPr>
              <w:rStyle w:val="16"/>
              <w:b/>
              <w:sz w:val="24"/>
              <w:szCs w:val="24"/>
            </w:rPr>
            <w:t>五、传统建筑企业面临巨大挑战</w:t>
          </w:r>
          <w:r>
            <w:rPr>
              <w:sz w:val="24"/>
              <w:szCs w:val="24"/>
            </w:rPr>
            <w:tab/>
          </w:r>
          <w:r>
            <w:rPr>
              <w:sz w:val="24"/>
              <w:szCs w:val="24"/>
            </w:rPr>
            <w:fldChar w:fldCharType="begin"/>
          </w:r>
          <w:r>
            <w:rPr>
              <w:sz w:val="24"/>
              <w:szCs w:val="24"/>
            </w:rPr>
            <w:instrText xml:space="preserve"> PAGEREF _Toc63321810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2054700">
          <w:pPr>
            <w:pStyle w:val="10"/>
            <w:tabs>
              <w:tab w:val="right" w:leader="dot" w:pos="8296"/>
            </w:tabs>
            <w:spacing w:line="360" w:lineRule="auto"/>
            <w:rPr>
              <w:sz w:val="24"/>
              <w:szCs w:val="24"/>
            </w:rPr>
          </w:pPr>
          <w:r>
            <w:fldChar w:fldCharType="begin"/>
          </w:r>
          <w:r>
            <w:instrText xml:space="preserve"> HYPERLINK \l "_Toc63321811" </w:instrText>
          </w:r>
          <w:r>
            <w:fldChar w:fldCharType="separate"/>
          </w:r>
          <w:r>
            <w:rPr>
              <w:rStyle w:val="16"/>
              <w:b/>
              <w:sz w:val="24"/>
              <w:szCs w:val="24"/>
            </w:rPr>
            <w:t>第三部分  “十四五”时期天津市建筑业发展的指导思想和目标</w:t>
          </w:r>
          <w:r>
            <w:rPr>
              <w:sz w:val="24"/>
              <w:szCs w:val="24"/>
            </w:rPr>
            <w:tab/>
          </w:r>
          <w:r>
            <w:rPr>
              <w:sz w:val="24"/>
              <w:szCs w:val="24"/>
            </w:rPr>
            <w:fldChar w:fldCharType="begin"/>
          </w:r>
          <w:r>
            <w:rPr>
              <w:sz w:val="24"/>
              <w:szCs w:val="24"/>
            </w:rPr>
            <w:instrText xml:space="preserve"> PAGEREF _Toc63321811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7F81AAD4">
          <w:pPr>
            <w:pStyle w:val="11"/>
            <w:tabs>
              <w:tab w:val="right" w:leader="dot" w:pos="8296"/>
            </w:tabs>
            <w:spacing w:line="360" w:lineRule="auto"/>
            <w:rPr>
              <w:sz w:val="24"/>
              <w:szCs w:val="24"/>
            </w:rPr>
          </w:pPr>
          <w:r>
            <w:fldChar w:fldCharType="begin"/>
          </w:r>
          <w:r>
            <w:instrText xml:space="preserve"> HYPERLINK \l "_Toc63321812" </w:instrText>
          </w:r>
          <w:r>
            <w:fldChar w:fldCharType="separate"/>
          </w:r>
          <w:r>
            <w:rPr>
              <w:rStyle w:val="16"/>
              <w:rFonts w:asciiTheme="minorEastAsia" w:hAnsiTheme="minorEastAsia"/>
              <w:b/>
              <w:sz w:val="24"/>
              <w:szCs w:val="24"/>
            </w:rPr>
            <w:t>一、</w:t>
          </w:r>
          <w:r>
            <w:rPr>
              <w:rStyle w:val="16"/>
              <w:b/>
              <w:sz w:val="24"/>
              <w:szCs w:val="24"/>
            </w:rPr>
            <w:t>指导思想</w:t>
          </w:r>
          <w:r>
            <w:rPr>
              <w:sz w:val="24"/>
              <w:szCs w:val="24"/>
            </w:rPr>
            <w:tab/>
          </w:r>
          <w:r>
            <w:rPr>
              <w:sz w:val="24"/>
              <w:szCs w:val="24"/>
            </w:rPr>
            <w:fldChar w:fldCharType="begin"/>
          </w:r>
          <w:r>
            <w:rPr>
              <w:sz w:val="24"/>
              <w:szCs w:val="24"/>
            </w:rPr>
            <w:instrText xml:space="preserve"> PAGEREF _Toc63321812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C83936F">
          <w:pPr>
            <w:pStyle w:val="11"/>
            <w:tabs>
              <w:tab w:val="right" w:leader="dot" w:pos="8296"/>
            </w:tabs>
            <w:spacing w:line="360" w:lineRule="auto"/>
            <w:rPr>
              <w:sz w:val="24"/>
              <w:szCs w:val="24"/>
            </w:rPr>
          </w:pPr>
          <w:r>
            <w:fldChar w:fldCharType="begin"/>
          </w:r>
          <w:r>
            <w:instrText xml:space="preserve"> HYPERLINK \l "_Toc63321813" </w:instrText>
          </w:r>
          <w:r>
            <w:fldChar w:fldCharType="separate"/>
          </w:r>
          <w:r>
            <w:rPr>
              <w:rStyle w:val="16"/>
              <w:rFonts w:asciiTheme="minorEastAsia" w:hAnsiTheme="minorEastAsia"/>
              <w:b/>
              <w:sz w:val="24"/>
              <w:szCs w:val="24"/>
            </w:rPr>
            <w:t>二、编制原则</w:t>
          </w:r>
          <w:r>
            <w:rPr>
              <w:sz w:val="24"/>
              <w:szCs w:val="24"/>
            </w:rPr>
            <w:tab/>
          </w:r>
          <w:r>
            <w:rPr>
              <w:sz w:val="24"/>
              <w:szCs w:val="24"/>
            </w:rPr>
            <w:fldChar w:fldCharType="begin"/>
          </w:r>
          <w:r>
            <w:rPr>
              <w:sz w:val="24"/>
              <w:szCs w:val="24"/>
            </w:rPr>
            <w:instrText xml:space="preserve"> PAGEREF _Toc63321813 \h </w:instrText>
          </w:r>
          <w:r>
            <w:rPr>
              <w:sz w:val="24"/>
              <w:szCs w:val="24"/>
            </w:rPr>
            <w:fldChar w:fldCharType="separate"/>
          </w:r>
          <w:r>
            <w:rPr>
              <w:sz w:val="24"/>
              <w:szCs w:val="24"/>
            </w:rPr>
            <w:t>11</w:t>
          </w:r>
          <w:r>
            <w:rPr>
              <w:sz w:val="24"/>
              <w:szCs w:val="24"/>
            </w:rPr>
            <w:fldChar w:fldCharType="end"/>
          </w:r>
          <w:r>
            <w:rPr>
              <w:sz w:val="24"/>
              <w:szCs w:val="24"/>
            </w:rPr>
            <w:fldChar w:fldCharType="end"/>
          </w:r>
        </w:p>
        <w:p w14:paraId="4EBBCC16">
          <w:pPr>
            <w:pStyle w:val="11"/>
            <w:tabs>
              <w:tab w:val="right" w:leader="dot" w:pos="8296"/>
            </w:tabs>
            <w:spacing w:line="360" w:lineRule="auto"/>
            <w:rPr>
              <w:sz w:val="24"/>
              <w:szCs w:val="24"/>
            </w:rPr>
          </w:pPr>
          <w:r>
            <w:fldChar w:fldCharType="begin"/>
          </w:r>
          <w:r>
            <w:instrText xml:space="preserve"> HYPERLINK \l "_Toc63321814" </w:instrText>
          </w:r>
          <w:r>
            <w:fldChar w:fldCharType="separate"/>
          </w:r>
          <w:r>
            <w:rPr>
              <w:rStyle w:val="16"/>
              <w:rFonts w:asciiTheme="minorEastAsia" w:hAnsiTheme="minorEastAsia"/>
              <w:b/>
              <w:sz w:val="24"/>
              <w:szCs w:val="24"/>
            </w:rPr>
            <w:t>三、主要</w:t>
          </w:r>
          <w:r>
            <w:rPr>
              <w:rStyle w:val="16"/>
              <w:b/>
              <w:sz w:val="24"/>
              <w:szCs w:val="24"/>
            </w:rPr>
            <w:t>发展目标</w:t>
          </w:r>
          <w:r>
            <w:rPr>
              <w:sz w:val="24"/>
              <w:szCs w:val="24"/>
            </w:rPr>
            <w:tab/>
          </w:r>
          <w:r>
            <w:rPr>
              <w:sz w:val="24"/>
              <w:szCs w:val="24"/>
            </w:rPr>
            <w:fldChar w:fldCharType="begin"/>
          </w:r>
          <w:r>
            <w:rPr>
              <w:sz w:val="24"/>
              <w:szCs w:val="24"/>
            </w:rPr>
            <w:instrText xml:space="preserve"> PAGEREF _Toc63321814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15913BC4">
          <w:pPr>
            <w:pStyle w:val="11"/>
            <w:tabs>
              <w:tab w:val="right" w:leader="dot" w:pos="8296"/>
            </w:tabs>
            <w:spacing w:line="360" w:lineRule="auto"/>
            <w:rPr>
              <w:sz w:val="24"/>
              <w:szCs w:val="24"/>
            </w:rPr>
          </w:pPr>
          <w:r>
            <w:fldChar w:fldCharType="begin"/>
          </w:r>
          <w:r>
            <w:instrText xml:space="preserve"> HYPERLINK \l "_Toc63321815" </w:instrText>
          </w:r>
          <w:r>
            <w:fldChar w:fldCharType="separate"/>
          </w:r>
          <w:r>
            <w:rPr>
              <w:rStyle w:val="16"/>
              <w:rFonts w:ascii="宋体" w:hAnsi="宋体" w:eastAsia="宋体"/>
              <w:b/>
              <w:sz w:val="24"/>
              <w:szCs w:val="24"/>
            </w:rPr>
            <w:t>四、</w:t>
          </w:r>
          <w:r>
            <w:rPr>
              <w:rStyle w:val="16"/>
              <w:b/>
              <w:sz w:val="24"/>
              <w:szCs w:val="24"/>
            </w:rPr>
            <w:t>远景目标</w:t>
          </w:r>
          <w:r>
            <w:rPr>
              <w:sz w:val="24"/>
              <w:szCs w:val="24"/>
            </w:rPr>
            <w:tab/>
          </w:r>
          <w:r>
            <w:rPr>
              <w:sz w:val="24"/>
              <w:szCs w:val="24"/>
            </w:rPr>
            <w:fldChar w:fldCharType="begin"/>
          </w:r>
          <w:r>
            <w:rPr>
              <w:sz w:val="24"/>
              <w:szCs w:val="24"/>
            </w:rPr>
            <w:instrText xml:space="preserve"> PAGEREF _Toc63321815 \h </w:instrText>
          </w:r>
          <w:r>
            <w:rPr>
              <w:sz w:val="24"/>
              <w:szCs w:val="24"/>
            </w:rPr>
            <w:fldChar w:fldCharType="separate"/>
          </w:r>
          <w:r>
            <w:rPr>
              <w:sz w:val="24"/>
              <w:szCs w:val="24"/>
            </w:rPr>
            <w:t>12</w:t>
          </w:r>
          <w:r>
            <w:rPr>
              <w:sz w:val="24"/>
              <w:szCs w:val="24"/>
            </w:rPr>
            <w:fldChar w:fldCharType="end"/>
          </w:r>
          <w:r>
            <w:rPr>
              <w:sz w:val="24"/>
              <w:szCs w:val="24"/>
            </w:rPr>
            <w:fldChar w:fldCharType="end"/>
          </w:r>
        </w:p>
        <w:p w14:paraId="7FAE8486">
          <w:pPr>
            <w:pStyle w:val="10"/>
            <w:tabs>
              <w:tab w:val="right" w:leader="dot" w:pos="8296"/>
            </w:tabs>
            <w:spacing w:line="360" w:lineRule="auto"/>
            <w:rPr>
              <w:sz w:val="24"/>
              <w:szCs w:val="24"/>
            </w:rPr>
          </w:pPr>
          <w:r>
            <w:fldChar w:fldCharType="begin"/>
          </w:r>
          <w:r>
            <w:instrText xml:space="preserve"> HYPERLINK \l "_Toc63321816" </w:instrText>
          </w:r>
          <w:r>
            <w:fldChar w:fldCharType="separate"/>
          </w:r>
          <w:r>
            <w:rPr>
              <w:rStyle w:val="16"/>
              <w:b/>
              <w:sz w:val="24"/>
              <w:szCs w:val="24"/>
            </w:rPr>
            <w:t>第四部分  “十四五”时期天津市建筑业发展的主要任务</w:t>
          </w:r>
          <w:r>
            <w:rPr>
              <w:sz w:val="24"/>
              <w:szCs w:val="24"/>
            </w:rPr>
            <w:tab/>
          </w:r>
          <w:r>
            <w:rPr>
              <w:sz w:val="24"/>
              <w:szCs w:val="24"/>
            </w:rPr>
            <w:fldChar w:fldCharType="begin"/>
          </w:r>
          <w:r>
            <w:rPr>
              <w:sz w:val="24"/>
              <w:szCs w:val="24"/>
            </w:rPr>
            <w:instrText xml:space="preserve"> PAGEREF _Toc63321816 \h </w:instrText>
          </w:r>
          <w:r>
            <w:rPr>
              <w:sz w:val="24"/>
              <w:szCs w:val="24"/>
            </w:rPr>
            <w:fldChar w:fldCharType="separate"/>
          </w:r>
          <w:r>
            <w:rPr>
              <w:sz w:val="24"/>
              <w:szCs w:val="24"/>
            </w:rPr>
            <w:t>13</w:t>
          </w:r>
          <w:r>
            <w:rPr>
              <w:sz w:val="24"/>
              <w:szCs w:val="24"/>
            </w:rPr>
            <w:fldChar w:fldCharType="end"/>
          </w:r>
          <w:r>
            <w:rPr>
              <w:sz w:val="24"/>
              <w:szCs w:val="24"/>
            </w:rPr>
            <w:fldChar w:fldCharType="end"/>
          </w:r>
        </w:p>
        <w:p w14:paraId="651EFCF7">
          <w:pPr>
            <w:pStyle w:val="11"/>
            <w:tabs>
              <w:tab w:val="left" w:pos="1260"/>
              <w:tab w:val="right" w:leader="dot" w:pos="8296"/>
            </w:tabs>
            <w:spacing w:line="360" w:lineRule="auto"/>
            <w:rPr>
              <w:sz w:val="24"/>
              <w:szCs w:val="24"/>
            </w:rPr>
          </w:pPr>
          <w:r>
            <w:fldChar w:fldCharType="begin"/>
          </w:r>
          <w:r>
            <w:instrText xml:space="preserve"> HYPERLINK \l "_Toc63321817" </w:instrText>
          </w:r>
          <w:r>
            <w:fldChar w:fldCharType="separate"/>
          </w:r>
          <w:r>
            <w:rPr>
              <w:rStyle w:val="16"/>
              <w:b/>
              <w:sz w:val="24"/>
              <w:szCs w:val="24"/>
            </w:rPr>
            <w:t>一、</w:t>
          </w:r>
          <w:r>
            <w:rPr>
              <w:sz w:val="24"/>
              <w:szCs w:val="24"/>
            </w:rPr>
            <w:tab/>
          </w:r>
          <w:r>
            <w:rPr>
              <w:rStyle w:val="16"/>
              <w:b/>
              <w:sz w:val="24"/>
              <w:szCs w:val="24"/>
            </w:rPr>
            <w:t>做大做强建筑企业，打造“天津建造”品牌</w:t>
          </w:r>
          <w:r>
            <w:rPr>
              <w:sz w:val="24"/>
              <w:szCs w:val="24"/>
            </w:rPr>
            <w:tab/>
          </w:r>
          <w:r>
            <w:rPr>
              <w:sz w:val="24"/>
              <w:szCs w:val="24"/>
            </w:rPr>
            <w:fldChar w:fldCharType="begin"/>
          </w:r>
          <w:r>
            <w:rPr>
              <w:sz w:val="24"/>
              <w:szCs w:val="24"/>
            </w:rPr>
            <w:instrText xml:space="preserve"> PAGEREF _Toc63321817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70DB8C55">
          <w:pPr>
            <w:pStyle w:val="6"/>
            <w:tabs>
              <w:tab w:val="right" w:leader="dot" w:pos="8296"/>
            </w:tabs>
            <w:spacing w:line="360" w:lineRule="auto"/>
            <w:rPr>
              <w:sz w:val="24"/>
              <w:szCs w:val="24"/>
            </w:rPr>
          </w:pPr>
          <w:r>
            <w:fldChar w:fldCharType="begin"/>
          </w:r>
          <w:r>
            <w:instrText xml:space="preserve"> HYPERLINK \l "_Toc63321818" </w:instrText>
          </w:r>
          <w:r>
            <w:fldChar w:fldCharType="separate"/>
          </w:r>
          <w:r>
            <w:rPr>
              <w:rStyle w:val="16"/>
              <w:sz w:val="24"/>
              <w:szCs w:val="24"/>
            </w:rPr>
            <w:t>（一） 以“三驾马车”扶持骨干企业</w:t>
          </w:r>
          <w:r>
            <w:rPr>
              <w:sz w:val="24"/>
              <w:szCs w:val="24"/>
            </w:rPr>
            <w:tab/>
          </w:r>
          <w:r>
            <w:rPr>
              <w:sz w:val="24"/>
              <w:szCs w:val="24"/>
            </w:rPr>
            <w:fldChar w:fldCharType="begin"/>
          </w:r>
          <w:r>
            <w:rPr>
              <w:sz w:val="24"/>
              <w:szCs w:val="24"/>
            </w:rPr>
            <w:instrText xml:space="preserve"> PAGEREF _Toc63321818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1A39BB4">
          <w:pPr>
            <w:pStyle w:val="6"/>
            <w:tabs>
              <w:tab w:val="right" w:leader="dot" w:pos="8296"/>
            </w:tabs>
            <w:spacing w:line="360" w:lineRule="auto"/>
            <w:rPr>
              <w:sz w:val="24"/>
              <w:szCs w:val="24"/>
            </w:rPr>
          </w:pPr>
          <w:r>
            <w:fldChar w:fldCharType="begin"/>
          </w:r>
          <w:r>
            <w:instrText xml:space="preserve"> HYPERLINK \l "_Toc63321819" </w:instrText>
          </w:r>
          <w:r>
            <w:fldChar w:fldCharType="separate"/>
          </w:r>
          <w:r>
            <w:rPr>
              <w:rStyle w:val="16"/>
              <w:sz w:val="24"/>
              <w:szCs w:val="24"/>
            </w:rPr>
            <w:t>（二） 继续开拓外埠市场，参与“一带一路”建设</w:t>
          </w:r>
          <w:r>
            <w:rPr>
              <w:sz w:val="24"/>
              <w:szCs w:val="24"/>
            </w:rPr>
            <w:tab/>
          </w:r>
          <w:r>
            <w:rPr>
              <w:sz w:val="24"/>
              <w:szCs w:val="24"/>
            </w:rPr>
            <w:fldChar w:fldCharType="begin"/>
          </w:r>
          <w:r>
            <w:rPr>
              <w:sz w:val="24"/>
              <w:szCs w:val="24"/>
            </w:rPr>
            <w:instrText xml:space="preserve"> PAGEREF _Toc63321819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6C9927EC">
          <w:pPr>
            <w:pStyle w:val="6"/>
            <w:tabs>
              <w:tab w:val="right" w:leader="dot" w:pos="8296"/>
            </w:tabs>
            <w:spacing w:line="360" w:lineRule="auto"/>
            <w:rPr>
              <w:sz w:val="24"/>
              <w:szCs w:val="24"/>
            </w:rPr>
          </w:pPr>
          <w:r>
            <w:fldChar w:fldCharType="begin"/>
          </w:r>
          <w:r>
            <w:instrText xml:space="preserve"> HYPERLINK \l "_Toc63321820" </w:instrText>
          </w:r>
          <w:r>
            <w:fldChar w:fldCharType="separate"/>
          </w:r>
          <w:r>
            <w:rPr>
              <w:rStyle w:val="16"/>
              <w:sz w:val="24"/>
              <w:szCs w:val="24"/>
            </w:rPr>
            <w:t>（三） 引导建筑业产业链融合</w:t>
          </w:r>
          <w:r>
            <w:rPr>
              <w:sz w:val="24"/>
              <w:szCs w:val="24"/>
            </w:rPr>
            <w:tab/>
          </w:r>
          <w:r>
            <w:rPr>
              <w:sz w:val="24"/>
              <w:szCs w:val="24"/>
            </w:rPr>
            <w:fldChar w:fldCharType="begin"/>
          </w:r>
          <w:r>
            <w:rPr>
              <w:sz w:val="24"/>
              <w:szCs w:val="24"/>
            </w:rPr>
            <w:instrText xml:space="preserve"> PAGEREF _Toc63321820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A9D7947">
          <w:pPr>
            <w:pStyle w:val="6"/>
            <w:tabs>
              <w:tab w:val="right" w:leader="dot" w:pos="8296"/>
            </w:tabs>
            <w:spacing w:line="360" w:lineRule="auto"/>
            <w:rPr>
              <w:sz w:val="24"/>
              <w:szCs w:val="24"/>
            </w:rPr>
          </w:pPr>
          <w:r>
            <w:fldChar w:fldCharType="begin"/>
          </w:r>
          <w:r>
            <w:instrText xml:space="preserve"> HYPERLINK \l "_Toc63321821" </w:instrText>
          </w:r>
          <w:r>
            <w:fldChar w:fldCharType="separate"/>
          </w:r>
          <w:r>
            <w:rPr>
              <w:rStyle w:val="16"/>
              <w:sz w:val="24"/>
              <w:szCs w:val="24"/>
            </w:rPr>
            <w:t>（四） 引导造价、监理等建筑服务行业转型升级</w:t>
          </w:r>
          <w:r>
            <w:rPr>
              <w:sz w:val="24"/>
              <w:szCs w:val="24"/>
            </w:rPr>
            <w:tab/>
          </w:r>
          <w:r>
            <w:rPr>
              <w:sz w:val="24"/>
              <w:szCs w:val="24"/>
            </w:rPr>
            <w:fldChar w:fldCharType="begin"/>
          </w:r>
          <w:r>
            <w:rPr>
              <w:sz w:val="24"/>
              <w:szCs w:val="24"/>
            </w:rPr>
            <w:instrText xml:space="preserve"> PAGEREF _Toc63321821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6426C0B">
          <w:pPr>
            <w:pStyle w:val="11"/>
            <w:tabs>
              <w:tab w:val="left" w:pos="1260"/>
              <w:tab w:val="right" w:leader="dot" w:pos="8296"/>
            </w:tabs>
            <w:spacing w:line="360" w:lineRule="auto"/>
            <w:rPr>
              <w:sz w:val="24"/>
              <w:szCs w:val="24"/>
            </w:rPr>
          </w:pPr>
          <w:r>
            <w:fldChar w:fldCharType="begin"/>
          </w:r>
          <w:r>
            <w:instrText xml:space="preserve"> HYPERLINK \l "_Toc63321822" </w:instrText>
          </w:r>
          <w:r>
            <w:fldChar w:fldCharType="separate"/>
          </w:r>
          <w:r>
            <w:rPr>
              <w:rStyle w:val="16"/>
              <w:b/>
              <w:sz w:val="24"/>
              <w:szCs w:val="24"/>
            </w:rPr>
            <w:t>二、</w:t>
          </w:r>
          <w:r>
            <w:rPr>
              <w:sz w:val="24"/>
              <w:szCs w:val="24"/>
            </w:rPr>
            <w:tab/>
          </w:r>
          <w:r>
            <w:rPr>
              <w:rStyle w:val="16"/>
              <w:b/>
              <w:sz w:val="24"/>
              <w:szCs w:val="24"/>
            </w:rPr>
            <w:t>推行“先进建造”计划，加快工程组织模式改革</w:t>
          </w:r>
          <w:r>
            <w:rPr>
              <w:sz w:val="24"/>
              <w:szCs w:val="24"/>
            </w:rPr>
            <w:tab/>
          </w:r>
          <w:r>
            <w:rPr>
              <w:sz w:val="24"/>
              <w:szCs w:val="24"/>
            </w:rPr>
            <w:fldChar w:fldCharType="begin"/>
          </w:r>
          <w:r>
            <w:rPr>
              <w:sz w:val="24"/>
              <w:szCs w:val="24"/>
            </w:rPr>
            <w:instrText xml:space="preserve"> PAGEREF _Toc63321822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D378DE8">
          <w:pPr>
            <w:pStyle w:val="6"/>
            <w:tabs>
              <w:tab w:val="right" w:leader="dot" w:pos="8296"/>
            </w:tabs>
            <w:spacing w:line="360" w:lineRule="auto"/>
            <w:rPr>
              <w:sz w:val="24"/>
              <w:szCs w:val="24"/>
            </w:rPr>
          </w:pPr>
          <w:r>
            <w:fldChar w:fldCharType="begin"/>
          </w:r>
          <w:r>
            <w:instrText xml:space="preserve"> HYPERLINK \l "_Toc63321823" </w:instrText>
          </w:r>
          <w:r>
            <w:fldChar w:fldCharType="separate"/>
          </w:r>
          <w:r>
            <w:rPr>
              <w:rStyle w:val="16"/>
              <w:sz w:val="24"/>
              <w:szCs w:val="24"/>
            </w:rPr>
            <w:t>（一） 抢抓建筑信息化和工业化发展机遇，推行“先进建造”计划</w:t>
          </w:r>
          <w:r>
            <w:rPr>
              <w:sz w:val="24"/>
              <w:szCs w:val="24"/>
            </w:rPr>
            <w:tab/>
          </w:r>
          <w:r>
            <w:rPr>
              <w:sz w:val="24"/>
              <w:szCs w:val="24"/>
            </w:rPr>
            <w:fldChar w:fldCharType="begin"/>
          </w:r>
          <w:r>
            <w:rPr>
              <w:sz w:val="24"/>
              <w:szCs w:val="24"/>
            </w:rPr>
            <w:instrText xml:space="preserve"> PAGEREF _Toc63321823 \h </w:instrText>
          </w:r>
          <w:r>
            <w:rPr>
              <w:sz w:val="24"/>
              <w:szCs w:val="24"/>
            </w:rPr>
            <w:fldChar w:fldCharType="separate"/>
          </w:r>
          <w:r>
            <w:rPr>
              <w:sz w:val="24"/>
              <w:szCs w:val="24"/>
            </w:rPr>
            <w:t>15</w:t>
          </w:r>
          <w:r>
            <w:rPr>
              <w:sz w:val="24"/>
              <w:szCs w:val="24"/>
            </w:rPr>
            <w:fldChar w:fldCharType="end"/>
          </w:r>
          <w:r>
            <w:rPr>
              <w:sz w:val="24"/>
              <w:szCs w:val="24"/>
            </w:rPr>
            <w:fldChar w:fldCharType="end"/>
          </w:r>
        </w:p>
        <w:p w14:paraId="274BC1B1">
          <w:pPr>
            <w:pStyle w:val="6"/>
            <w:tabs>
              <w:tab w:val="right" w:leader="dot" w:pos="8296"/>
            </w:tabs>
            <w:spacing w:line="360" w:lineRule="auto"/>
            <w:rPr>
              <w:sz w:val="24"/>
              <w:szCs w:val="24"/>
            </w:rPr>
          </w:pPr>
          <w:r>
            <w:fldChar w:fldCharType="begin"/>
          </w:r>
          <w:r>
            <w:instrText xml:space="preserve"> HYPERLINK \l "_Toc63321824" </w:instrText>
          </w:r>
          <w:r>
            <w:fldChar w:fldCharType="separate"/>
          </w:r>
          <w:r>
            <w:rPr>
              <w:rStyle w:val="16"/>
              <w:sz w:val="24"/>
              <w:szCs w:val="24"/>
            </w:rPr>
            <w:t>（二） 合理布局装配式建筑，完善产业链建设</w:t>
          </w:r>
          <w:r>
            <w:rPr>
              <w:sz w:val="24"/>
              <w:szCs w:val="24"/>
            </w:rPr>
            <w:tab/>
          </w:r>
          <w:r>
            <w:rPr>
              <w:sz w:val="24"/>
              <w:szCs w:val="24"/>
            </w:rPr>
            <w:fldChar w:fldCharType="begin"/>
          </w:r>
          <w:r>
            <w:rPr>
              <w:sz w:val="24"/>
              <w:szCs w:val="24"/>
            </w:rPr>
            <w:instrText xml:space="preserve"> PAGEREF _Toc63321824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05276EC">
          <w:pPr>
            <w:pStyle w:val="6"/>
            <w:tabs>
              <w:tab w:val="right" w:leader="dot" w:pos="8296"/>
            </w:tabs>
            <w:spacing w:line="360" w:lineRule="auto"/>
            <w:rPr>
              <w:sz w:val="24"/>
              <w:szCs w:val="24"/>
            </w:rPr>
          </w:pPr>
          <w:r>
            <w:fldChar w:fldCharType="begin"/>
          </w:r>
          <w:r>
            <w:instrText xml:space="preserve"> HYPERLINK \l "_Toc63321825" </w:instrText>
          </w:r>
          <w:r>
            <w:fldChar w:fldCharType="separate"/>
          </w:r>
          <w:r>
            <w:rPr>
              <w:rStyle w:val="16"/>
              <w:sz w:val="24"/>
              <w:szCs w:val="24"/>
            </w:rPr>
            <w:t>（三） 巩固绿色建造优势，助力生态文明建设</w:t>
          </w:r>
          <w:r>
            <w:rPr>
              <w:sz w:val="24"/>
              <w:szCs w:val="24"/>
            </w:rPr>
            <w:tab/>
          </w:r>
          <w:r>
            <w:rPr>
              <w:sz w:val="24"/>
              <w:szCs w:val="24"/>
            </w:rPr>
            <w:fldChar w:fldCharType="begin"/>
          </w:r>
          <w:r>
            <w:rPr>
              <w:sz w:val="24"/>
              <w:szCs w:val="24"/>
            </w:rPr>
            <w:instrText xml:space="preserve"> PAGEREF _Toc63321825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6A90A7D">
          <w:pPr>
            <w:pStyle w:val="6"/>
            <w:tabs>
              <w:tab w:val="right" w:leader="dot" w:pos="8296"/>
            </w:tabs>
            <w:spacing w:line="360" w:lineRule="auto"/>
            <w:rPr>
              <w:sz w:val="24"/>
              <w:szCs w:val="24"/>
            </w:rPr>
          </w:pPr>
          <w:r>
            <w:fldChar w:fldCharType="begin"/>
          </w:r>
          <w:r>
            <w:instrText xml:space="preserve"> HYPERLINK \l "_Toc63321826" </w:instrText>
          </w:r>
          <w:r>
            <w:fldChar w:fldCharType="separate"/>
          </w:r>
          <w:r>
            <w:rPr>
              <w:rStyle w:val="16"/>
              <w:sz w:val="24"/>
              <w:szCs w:val="24"/>
            </w:rPr>
            <w:t>（四） 加快推广工程总承包模式，提升我市企业总承包能力</w:t>
          </w:r>
          <w:r>
            <w:rPr>
              <w:sz w:val="24"/>
              <w:szCs w:val="24"/>
            </w:rPr>
            <w:tab/>
          </w:r>
          <w:r>
            <w:rPr>
              <w:sz w:val="24"/>
              <w:szCs w:val="24"/>
            </w:rPr>
            <w:fldChar w:fldCharType="begin"/>
          </w:r>
          <w:r>
            <w:rPr>
              <w:sz w:val="24"/>
              <w:szCs w:val="24"/>
            </w:rPr>
            <w:instrText xml:space="preserve"> PAGEREF _Toc63321826 \h </w:instrText>
          </w:r>
          <w:r>
            <w:rPr>
              <w:sz w:val="24"/>
              <w:szCs w:val="24"/>
            </w:rPr>
            <w:fldChar w:fldCharType="separate"/>
          </w:r>
          <w:r>
            <w:rPr>
              <w:sz w:val="24"/>
              <w:szCs w:val="24"/>
            </w:rPr>
            <w:t>17</w:t>
          </w:r>
          <w:r>
            <w:rPr>
              <w:sz w:val="24"/>
              <w:szCs w:val="24"/>
            </w:rPr>
            <w:fldChar w:fldCharType="end"/>
          </w:r>
          <w:r>
            <w:rPr>
              <w:sz w:val="24"/>
              <w:szCs w:val="24"/>
            </w:rPr>
            <w:fldChar w:fldCharType="end"/>
          </w:r>
        </w:p>
        <w:p w14:paraId="6E040D36">
          <w:pPr>
            <w:pStyle w:val="6"/>
            <w:tabs>
              <w:tab w:val="right" w:leader="dot" w:pos="8296"/>
            </w:tabs>
            <w:spacing w:line="360" w:lineRule="auto"/>
            <w:rPr>
              <w:sz w:val="24"/>
              <w:szCs w:val="24"/>
            </w:rPr>
          </w:pPr>
          <w:r>
            <w:fldChar w:fldCharType="begin"/>
          </w:r>
          <w:r>
            <w:instrText xml:space="preserve"> HYPERLINK \l "_Toc63321827" </w:instrText>
          </w:r>
          <w:r>
            <w:fldChar w:fldCharType="separate"/>
          </w:r>
          <w:r>
            <w:rPr>
              <w:rStyle w:val="16"/>
              <w:sz w:val="24"/>
              <w:szCs w:val="24"/>
            </w:rPr>
            <w:t>（五） 加快技术转化，创新引领发展</w:t>
          </w:r>
          <w:r>
            <w:rPr>
              <w:sz w:val="24"/>
              <w:szCs w:val="24"/>
            </w:rPr>
            <w:tab/>
          </w:r>
          <w:r>
            <w:rPr>
              <w:sz w:val="24"/>
              <w:szCs w:val="24"/>
            </w:rPr>
            <w:fldChar w:fldCharType="begin"/>
          </w:r>
          <w:r>
            <w:rPr>
              <w:sz w:val="24"/>
              <w:szCs w:val="24"/>
            </w:rPr>
            <w:instrText xml:space="preserve"> PAGEREF _Toc63321827 \h </w:instrText>
          </w:r>
          <w:r>
            <w:rPr>
              <w:sz w:val="24"/>
              <w:szCs w:val="24"/>
            </w:rPr>
            <w:fldChar w:fldCharType="separate"/>
          </w:r>
          <w:r>
            <w:rPr>
              <w:sz w:val="24"/>
              <w:szCs w:val="24"/>
            </w:rPr>
            <w:t>17</w:t>
          </w:r>
          <w:r>
            <w:rPr>
              <w:sz w:val="24"/>
              <w:szCs w:val="24"/>
            </w:rPr>
            <w:fldChar w:fldCharType="end"/>
          </w:r>
          <w:r>
            <w:rPr>
              <w:sz w:val="24"/>
              <w:szCs w:val="24"/>
            </w:rPr>
            <w:fldChar w:fldCharType="end"/>
          </w:r>
        </w:p>
        <w:p w14:paraId="2C7BCC7A">
          <w:pPr>
            <w:pStyle w:val="6"/>
            <w:tabs>
              <w:tab w:val="right" w:leader="dot" w:pos="8296"/>
            </w:tabs>
            <w:spacing w:line="360" w:lineRule="auto"/>
            <w:rPr>
              <w:sz w:val="24"/>
              <w:szCs w:val="24"/>
            </w:rPr>
          </w:pPr>
          <w:r>
            <w:fldChar w:fldCharType="begin"/>
          </w:r>
          <w:r>
            <w:instrText xml:space="preserve"> HYPERLINK \l "_Toc63321828" </w:instrText>
          </w:r>
          <w:r>
            <w:fldChar w:fldCharType="separate"/>
          </w:r>
          <w:r>
            <w:rPr>
              <w:rStyle w:val="16"/>
              <w:sz w:val="24"/>
              <w:szCs w:val="24"/>
            </w:rPr>
            <w:t>（六） 加快发展工程大数据</w:t>
          </w:r>
          <w:r>
            <w:rPr>
              <w:sz w:val="24"/>
              <w:szCs w:val="24"/>
            </w:rPr>
            <w:tab/>
          </w:r>
          <w:r>
            <w:rPr>
              <w:sz w:val="24"/>
              <w:szCs w:val="24"/>
            </w:rPr>
            <w:fldChar w:fldCharType="begin"/>
          </w:r>
          <w:r>
            <w:rPr>
              <w:sz w:val="24"/>
              <w:szCs w:val="24"/>
            </w:rPr>
            <w:instrText xml:space="preserve"> PAGEREF _Toc63321828 \h </w:instrText>
          </w:r>
          <w:r>
            <w:rPr>
              <w:sz w:val="24"/>
              <w:szCs w:val="24"/>
            </w:rPr>
            <w:fldChar w:fldCharType="separate"/>
          </w:r>
          <w:r>
            <w:rPr>
              <w:sz w:val="24"/>
              <w:szCs w:val="24"/>
            </w:rPr>
            <w:t>18</w:t>
          </w:r>
          <w:r>
            <w:rPr>
              <w:sz w:val="24"/>
              <w:szCs w:val="24"/>
            </w:rPr>
            <w:fldChar w:fldCharType="end"/>
          </w:r>
          <w:r>
            <w:rPr>
              <w:sz w:val="24"/>
              <w:szCs w:val="24"/>
            </w:rPr>
            <w:fldChar w:fldCharType="end"/>
          </w:r>
        </w:p>
        <w:p w14:paraId="2460218A">
          <w:pPr>
            <w:pStyle w:val="11"/>
            <w:tabs>
              <w:tab w:val="left" w:pos="1260"/>
              <w:tab w:val="right" w:leader="dot" w:pos="8296"/>
            </w:tabs>
            <w:spacing w:line="360" w:lineRule="auto"/>
            <w:rPr>
              <w:sz w:val="24"/>
              <w:szCs w:val="24"/>
            </w:rPr>
          </w:pPr>
          <w:r>
            <w:fldChar w:fldCharType="begin"/>
          </w:r>
          <w:r>
            <w:instrText xml:space="preserve"> HYPERLINK \l "_Toc63321829" </w:instrText>
          </w:r>
          <w:r>
            <w:fldChar w:fldCharType="separate"/>
          </w:r>
          <w:r>
            <w:rPr>
              <w:rStyle w:val="16"/>
              <w:b/>
              <w:sz w:val="24"/>
              <w:szCs w:val="24"/>
            </w:rPr>
            <w:t>三、</w:t>
          </w:r>
          <w:r>
            <w:rPr>
              <w:sz w:val="24"/>
              <w:szCs w:val="24"/>
            </w:rPr>
            <w:tab/>
          </w:r>
          <w:r>
            <w:rPr>
              <w:rStyle w:val="16"/>
              <w:b/>
              <w:sz w:val="24"/>
              <w:szCs w:val="24"/>
            </w:rPr>
            <w:t>保障劳务工人权益，提升从业人员素质</w:t>
          </w:r>
          <w:r>
            <w:rPr>
              <w:sz w:val="24"/>
              <w:szCs w:val="24"/>
            </w:rPr>
            <w:tab/>
          </w:r>
          <w:r>
            <w:rPr>
              <w:sz w:val="24"/>
              <w:szCs w:val="24"/>
            </w:rPr>
            <w:fldChar w:fldCharType="begin"/>
          </w:r>
          <w:r>
            <w:rPr>
              <w:sz w:val="24"/>
              <w:szCs w:val="24"/>
            </w:rPr>
            <w:instrText xml:space="preserve"> PAGEREF _Toc63321829 \h </w:instrText>
          </w:r>
          <w:r>
            <w:rPr>
              <w:sz w:val="24"/>
              <w:szCs w:val="24"/>
            </w:rPr>
            <w:fldChar w:fldCharType="separate"/>
          </w:r>
          <w:r>
            <w:rPr>
              <w:sz w:val="24"/>
              <w:szCs w:val="24"/>
            </w:rPr>
            <w:t>19</w:t>
          </w:r>
          <w:r>
            <w:rPr>
              <w:sz w:val="24"/>
              <w:szCs w:val="24"/>
            </w:rPr>
            <w:fldChar w:fldCharType="end"/>
          </w:r>
          <w:r>
            <w:rPr>
              <w:sz w:val="24"/>
              <w:szCs w:val="24"/>
            </w:rPr>
            <w:fldChar w:fldCharType="end"/>
          </w:r>
        </w:p>
        <w:p w14:paraId="16F36DF9">
          <w:pPr>
            <w:pStyle w:val="6"/>
            <w:tabs>
              <w:tab w:val="right" w:leader="dot" w:pos="8296"/>
            </w:tabs>
            <w:spacing w:line="360" w:lineRule="auto"/>
            <w:rPr>
              <w:sz w:val="24"/>
              <w:szCs w:val="24"/>
            </w:rPr>
          </w:pPr>
          <w:r>
            <w:fldChar w:fldCharType="begin"/>
          </w:r>
          <w:r>
            <w:instrText xml:space="preserve"> HYPERLINK \l "_Toc63321830" </w:instrText>
          </w:r>
          <w:r>
            <w:fldChar w:fldCharType="separate"/>
          </w:r>
          <w:r>
            <w:rPr>
              <w:rStyle w:val="16"/>
              <w:sz w:val="24"/>
              <w:szCs w:val="24"/>
            </w:rPr>
            <w:t>（一） 推动建筑产业工人队伍培育工作</w:t>
          </w:r>
          <w:r>
            <w:rPr>
              <w:sz w:val="24"/>
              <w:szCs w:val="24"/>
            </w:rPr>
            <w:tab/>
          </w:r>
          <w:r>
            <w:rPr>
              <w:sz w:val="24"/>
              <w:szCs w:val="24"/>
            </w:rPr>
            <w:fldChar w:fldCharType="begin"/>
          </w:r>
          <w:r>
            <w:rPr>
              <w:sz w:val="24"/>
              <w:szCs w:val="24"/>
            </w:rPr>
            <w:instrText xml:space="preserve"> PAGEREF _Toc63321830 \h </w:instrText>
          </w:r>
          <w:r>
            <w:rPr>
              <w:sz w:val="24"/>
              <w:szCs w:val="24"/>
            </w:rPr>
            <w:fldChar w:fldCharType="separate"/>
          </w:r>
          <w:r>
            <w:rPr>
              <w:sz w:val="24"/>
              <w:szCs w:val="24"/>
            </w:rPr>
            <w:t>19</w:t>
          </w:r>
          <w:r>
            <w:rPr>
              <w:sz w:val="24"/>
              <w:szCs w:val="24"/>
            </w:rPr>
            <w:fldChar w:fldCharType="end"/>
          </w:r>
          <w:r>
            <w:rPr>
              <w:sz w:val="24"/>
              <w:szCs w:val="24"/>
            </w:rPr>
            <w:fldChar w:fldCharType="end"/>
          </w:r>
        </w:p>
        <w:p w14:paraId="13CE9DD6">
          <w:pPr>
            <w:pStyle w:val="6"/>
            <w:tabs>
              <w:tab w:val="right" w:leader="dot" w:pos="8296"/>
            </w:tabs>
            <w:spacing w:line="360" w:lineRule="auto"/>
            <w:rPr>
              <w:sz w:val="24"/>
              <w:szCs w:val="24"/>
            </w:rPr>
          </w:pPr>
          <w:r>
            <w:fldChar w:fldCharType="begin"/>
          </w:r>
          <w:r>
            <w:instrText xml:space="preserve"> HYPERLINK \l "_Toc63321831" </w:instrText>
          </w:r>
          <w:r>
            <w:fldChar w:fldCharType="separate"/>
          </w:r>
          <w:r>
            <w:rPr>
              <w:rStyle w:val="16"/>
              <w:sz w:val="24"/>
              <w:szCs w:val="24"/>
            </w:rPr>
            <w:t>（二） 保障建筑工人合法权益</w:t>
          </w:r>
          <w:r>
            <w:rPr>
              <w:sz w:val="24"/>
              <w:szCs w:val="24"/>
            </w:rPr>
            <w:tab/>
          </w:r>
          <w:r>
            <w:rPr>
              <w:sz w:val="24"/>
              <w:szCs w:val="24"/>
            </w:rPr>
            <w:fldChar w:fldCharType="begin"/>
          </w:r>
          <w:r>
            <w:rPr>
              <w:sz w:val="24"/>
              <w:szCs w:val="24"/>
            </w:rPr>
            <w:instrText xml:space="preserve"> PAGEREF _Toc63321831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7889CCF1">
          <w:pPr>
            <w:pStyle w:val="6"/>
            <w:tabs>
              <w:tab w:val="right" w:leader="dot" w:pos="8296"/>
            </w:tabs>
            <w:spacing w:line="360" w:lineRule="auto"/>
            <w:rPr>
              <w:sz w:val="24"/>
              <w:szCs w:val="24"/>
            </w:rPr>
          </w:pPr>
          <w:r>
            <w:fldChar w:fldCharType="begin"/>
          </w:r>
          <w:r>
            <w:instrText xml:space="preserve"> HYPERLINK \l "_Toc63321832" </w:instrText>
          </w:r>
          <w:r>
            <w:fldChar w:fldCharType="separate"/>
          </w:r>
          <w:r>
            <w:rPr>
              <w:rStyle w:val="16"/>
              <w:sz w:val="24"/>
              <w:szCs w:val="24"/>
            </w:rPr>
            <w:t>（三） 加强建筑业人才队伍建设</w:t>
          </w:r>
          <w:r>
            <w:rPr>
              <w:sz w:val="24"/>
              <w:szCs w:val="24"/>
            </w:rPr>
            <w:tab/>
          </w:r>
          <w:r>
            <w:rPr>
              <w:sz w:val="24"/>
              <w:szCs w:val="24"/>
            </w:rPr>
            <w:fldChar w:fldCharType="begin"/>
          </w:r>
          <w:r>
            <w:rPr>
              <w:sz w:val="24"/>
              <w:szCs w:val="24"/>
            </w:rPr>
            <w:instrText xml:space="preserve"> PAGEREF _Toc63321832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59882E37">
          <w:pPr>
            <w:pStyle w:val="11"/>
            <w:tabs>
              <w:tab w:val="left" w:pos="1260"/>
              <w:tab w:val="right" w:leader="dot" w:pos="8296"/>
            </w:tabs>
            <w:spacing w:line="360" w:lineRule="auto"/>
            <w:rPr>
              <w:sz w:val="24"/>
              <w:szCs w:val="24"/>
            </w:rPr>
          </w:pPr>
          <w:r>
            <w:fldChar w:fldCharType="begin"/>
          </w:r>
          <w:r>
            <w:instrText xml:space="preserve"> HYPERLINK \l "_Toc63321833" </w:instrText>
          </w:r>
          <w:r>
            <w:fldChar w:fldCharType="separate"/>
          </w:r>
          <w:r>
            <w:rPr>
              <w:rStyle w:val="16"/>
              <w:b/>
              <w:sz w:val="24"/>
              <w:szCs w:val="24"/>
            </w:rPr>
            <w:t>四、</w:t>
          </w:r>
          <w:r>
            <w:rPr>
              <w:sz w:val="24"/>
              <w:szCs w:val="24"/>
            </w:rPr>
            <w:tab/>
          </w:r>
          <w:r>
            <w:rPr>
              <w:rStyle w:val="16"/>
              <w:b/>
              <w:sz w:val="24"/>
              <w:szCs w:val="24"/>
            </w:rPr>
            <w:t>完善建筑市场监管，优化建筑市场环境</w:t>
          </w:r>
          <w:r>
            <w:rPr>
              <w:sz w:val="24"/>
              <w:szCs w:val="24"/>
            </w:rPr>
            <w:tab/>
          </w:r>
          <w:r>
            <w:rPr>
              <w:sz w:val="24"/>
              <w:szCs w:val="24"/>
            </w:rPr>
            <w:fldChar w:fldCharType="begin"/>
          </w:r>
          <w:r>
            <w:rPr>
              <w:sz w:val="24"/>
              <w:szCs w:val="24"/>
            </w:rPr>
            <w:instrText xml:space="preserve"> PAGEREF _Toc63321833 \h </w:instrText>
          </w:r>
          <w:r>
            <w:rPr>
              <w:sz w:val="24"/>
              <w:szCs w:val="24"/>
            </w:rPr>
            <w:fldChar w:fldCharType="separate"/>
          </w:r>
          <w:r>
            <w:rPr>
              <w:sz w:val="24"/>
              <w:szCs w:val="24"/>
            </w:rPr>
            <w:t>21</w:t>
          </w:r>
          <w:r>
            <w:rPr>
              <w:sz w:val="24"/>
              <w:szCs w:val="24"/>
            </w:rPr>
            <w:fldChar w:fldCharType="end"/>
          </w:r>
          <w:r>
            <w:rPr>
              <w:sz w:val="24"/>
              <w:szCs w:val="24"/>
            </w:rPr>
            <w:fldChar w:fldCharType="end"/>
          </w:r>
        </w:p>
        <w:p w14:paraId="5861C6C6">
          <w:pPr>
            <w:pStyle w:val="6"/>
            <w:tabs>
              <w:tab w:val="right" w:leader="dot" w:pos="8296"/>
            </w:tabs>
            <w:spacing w:line="360" w:lineRule="auto"/>
            <w:rPr>
              <w:sz w:val="24"/>
              <w:szCs w:val="24"/>
            </w:rPr>
          </w:pPr>
          <w:r>
            <w:fldChar w:fldCharType="begin"/>
          </w:r>
          <w:r>
            <w:instrText xml:space="preserve"> HYPERLINK \l "_Toc63321834" </w:instrText>
          </w:r>
          <w:r>
            <w:fldChar w:fldCharType="separate"/>
          </w:r>
          <w:r>
            <w:rPr>
              <w:rStyle w:val="16"/>
              <w:sz w:val="24"/>
              <w:szCs w:val="24"/>
            </w:rPr>
            <w:t>（一）完善招投标管理</w:t>
          </w:r>
          <w:r>
            <w:rPr>
              <w:sz w:val="24"/>
              <w:szCs w:val="24"/>
            </w:rPr>
            <w:tab/>
          </w:r>
          <w:r>
            <w:rPr>
              <w:sz w:val="24"/>
              <w:szCs w:val="24"/>
            </w:rPr>
            <w:fldChar w:fldCharType="begin"/>
          </w:r>
          <w:r>
            <w:rPr>
              <w:sz w:val="24"/>
              <w:szCs w:val="24"/>
            </w:rPr>
            <w:instrText xml:space="preserve"> PAGEREF _Toc63321834 \h </w:instrText>
          </w:r>
          <w:r>
            <w:rPr>
              <w:sz w:val="24"/>
              <w:szCs w:val="24"/>
            </w:rPr>
            <w:fldChar w:fldCharType="separate"/>
          </w:r>
          <w:r>
            <w:rPr>
              <w:sz w:val="24"/>
              <w:szCs w:val="24"/>
            </w:rPr>
            <w:t>21</w:t>
          </w:r>
          <w:r>
            <w:rPr>
              <w:sz w:val="24"/>
              <w:szCs w:val="24"/>
            </w:rPr>
            <w:fldChar w:fldCharType="end"/>
          </w:r>
          <w:r>
            <w:rPr>
              <w:sz w:val="24"/>
              <w:szCs w:val="24"/>
            </w:rPr>
            <w:fldChar w:fldCharType="end"/>
          </w:r>
        </w:p>
        <w:p w14:paraId="3A138F1E">
          <w:pPr>
            <w:pStyle w:val="6"/>
            <w:tabs>
              <w:tab w:val="right" w:leader="dot" w:pos="8296"/>
            </w:tabs>
            <w:spacing w:line="360" w:lineRule="auto"/>
            <w:rPr>
              <w:sz w:val="24"/>
              <w:szCs w:val="24"/>
            </w:rPr>
          </w:pPr>
          <w:r>
            <w:fldChar w:fldCharType="begin"/>
          </w:r>
          <w:r>
            <w:instrText xml:space="preserve"> HYPERLINK \l "_Toc63321835" </w:instrText>
          </w:r>
          <w:r>
            <w:fldChar w:fldCharType="separate"/>
          </w:r>
          <w:r>
            <w:rPr>
              <w:rStyle w:val="16"/>
              <w:sz w:val="24"/>
              <w:szCs w:val="24"/>
            </w:rPr>
            <w:t>（二） 完善合同履约监管</w:t>
          </w:r>
          <w:r>
            <w:rPr>
              <w:sz w:val="24"/>
              <w:szCs w:val="24"/>
            </w:rPr>
            <w:tab/>
          </w:r>
          <w:r>
            <w:rPr>
              <w:sz w:val="24"/>
              <w:szCs w:val="24"/>
            </w:rPr>
            <w:fldChar w:fldCharType="begin"/>
          </w:r>
          <w:r>
            <w:rPr>
              <w:sz w:val="24"/>
              <w:szCs w:val="24"/>
            </w:rPr>
            <w:instrText xml:space="preserve"> PAGEREF _Toc63321835 \h </w:instrText>
          </w:r>
          <w:r>
            <w:rPr>
              <w:sz w:val="24"/>
              <w:szCs w:val="24"/>
            </w:rPr>
            <w:fldChar w:fldCharType="separate"/>
          </w:r>
          <w:r>
            <w:rPr>
              <w:sz w:val="24"/>
              <w:szCs w:val="24"/>
            </w:rPr>
            <w:t>21</w:t>
          </w:r>
          <w:r>
            <w:rPr>
              <w:sz w:val="24"/>
              <w:szCs w:val="24"/>
            </w:rPr>
            <w:fldChar w:fldCharType="end"/>
          </w:r>
          <w:r>
            <w:rPr>
              <w:sz w:val="24"/>
              <w:szCs w:val="24"/>
            </w:rPr>
            <w:fldChar w:fldCharType="end"/>
          </w:r>
        </w:p>
        <w:p w14:paraId="1B664F09">
          <w:pPr>
            <w:pStyle w:val="6"/>
            <w:tabs>
              <w:tab w:val="right" w:leader="dot" w:pos="8296"/>
            </w:tabs>
            <w:spacing w:line="360" w:lineRule="auto"/>
            <w:rPr>
              <w:sz w:val="24"/>
              <w:szCs w:val="24"/>
            </w:rPr>
          </w:pPr>
          <w:r>
            <w:fldChar w:fldCharType="begin"/>
          </w:r>
          <w:r>
            <w:instrText xml:space="preserve"> HYPERLINK \l "_Toc63321836" </w:instrText>
          </w:r>
          <w:r>
            <w:fldChar w:fldCharType="separate"/>
          </w:r>
          <w:r>
            <w:rPr>
              <w:rStyle w:val="16"/>
              <w:sz w:val="24"/>
              <w:szCs w:val="24"/>
            </w:rPr>
            <w:t>（三） 完善质量安全监管</w:t>
          </w:r>
          <w:r>
            <w:rPr>
              <w:sz w:val="24"/>
              <w:szCs w:val="24"/>
            </w:rPr>
            <w:tab/>
          </w:r>
          <w:r>
            <w:rPr>
              <w:sz w:val="24"/>
              <w:szCs w:val="24"/>
            </w:rPr>
            <w:fldChar w:fldCharType="begin"/>
          </w:r>
          <w:r>
            <w:rPr>
              <w:sz w:val="24"/>
              <w:szCs w:val="24"/>
            </w:rPr>
            <w:instrText xml:space="preserve"> PAGEREF _Toc63321836 \h </w:instrText>
          </w:r>
          <w:r>
            <w:rPr>
              <w:sz w:val="24"/>
              <w:szCs w:val="24"/>
            </w:rPr>
            <w:fldChar w:fldCharType="separate"/>
          </w:r>
          <w:r>
            <w:rPr>
              <w:sz w:val="24"/>
              <w:szCs w:val="24"/>
            </w:rPr>
            <w:t>22</w:t>
          </w:r>
          <w:r>
            <w:rPr>
              <w:sz w:val="24"/>
              <w:szCs w:val="24"/>
            </w:rPr>
            <w:fldChar w:fldCharType="end"/>
          </w:r>
          <w:r>
            <w:rPr>
              <w:sz w:val="24"/>
              <w:szCs w:val="24"/>
            </w:rPr>
            <w:fldChar w:fldCharType="end"/>
          </w:r>
        </w:p>
        <w:p w14:paraId="3EF2DDA4">
          <w:pPr>
            <w:pStyle w:val="6"/>
            <w:tabs>
              <w:tab w:val="right" w:leader="dot" w:pos="8296"/>
            </w:tabs>
            <w:spacing w:line="360" w:lineRule="auto"/>
            <w:rPr>
              <w:sz w:val="24"/>
              <w:szCs w:val="24"/>
            </w:rPr>
          </w:pPr>
          <w:r>
            <w:fldChar w:fldCharType="begin"/>
          </w:r>
          <w:r>
            <w:instrText xml:space="preserve"> HYPERLINK \l "_Toc63321837" </w:instrText>
          </w:r>
          <w:r>
            <w:fldChar w:fldCharType="separate"/>
          </w:r>
          <w:r>
            <w:rPr>
              <w:rStyle w:val="16"/>
              <w:sz w:val="24"/>
              <w:szCs w:val="24"/>
            </w:rPr>
            <w:t>（四） 完善建筑市场信用体系建设</w:t>
          </w:r>
          <w:r>
            <w:rPr>
              <w:sz w:val="24"/>
              <w:szCs w:val="24"/>
            </w:rPr>
            <w:tab/>
          </w:r>
          <w:r>
            <w:rPr>
              <w:sz w:val="24"/>
              <w:szCs w:val="24"/>
            </w:rPr>
            <w:fldChar w:fldCharType="begin"/>
          </w:r>
          <w:r>
            <w:rPr>
              <w:sz w:val="24"/>
              <w:szCs w:val="24"/>
            </w:rPr>
            <w:instrText xml:space="preserve"> PAGEREF _Toc63321837 \h </w:instrText>
          </w:r>
          <w:r>
            <w:rPr>
              <w:sz w:val="24"/>
              <w:szCs w:val="24"/>
            </w:rPr>
            <w:fldChar w:fldCharType="separate"/>
          </w:r>
          <w:r>
            <w:rPr>
              <w:sz w:val="24"/>
              <w:szCs w:val="24"/>
            </w:rPr>
            <w:t>23</w:t>
          </w:r>
          <w:r>
            <w:rPr>
              <w:sz w:val="24"/>
              <w:szCs w:val="24"/>
            </w:rPr>
            <w:fldChar w:fldCharType="end"/>
          </w:r>
          <w:r>
            <w:rPr>
              <w:sz w:val="24"/>
              <w:szCs w:val="24"/>
            </w:rPr>
            <w:fldChar w:fldCharType="end"/>
          </w:r>
        </w:p>
        <w:p w14:paraId="062DC076">
          <w:pPr>
            <w:pStyle w:val="11"/>
            <w:tabs>
              <w:tab w:val="left" w:pos="1260"/>
              <w:tab w:val="right" w:leader="dot" w:pos="8296"/>
            </w:tabs>
            <w:spacing w:line="360" w:lineRule="auto"/>
            <w:rPr>
              <w:sz w:val="24"/>
              <w:szCs w:val="24"/>
            </w:rPr>
          </w:pPr>
          <w:r>
            <w:fldChar w:fldCharType="begin"/>
          </w:r>
          <w:r>
            <w:instrText xml:space="preserve"> HYPERLINK \l "_Toc63321838" </w:instrText>
          </w:r>
          <w:r>
            <w:fldChar w:fldCharType="separate"/>
          </w:r>
          <w:r>
            <w:rPr>
              <w:rStyle w:val="16"/>
              <w:b/>
              <w:sz w:val="24"/>
              <w:szCs w:val="24"/>
            </w:rPr>
            <w:t>五、</w:t>
          </w:r>
          <w:r>
            <w:rPr>
              <w:sz w:val="24"/>
              <w:szCs w:val="24"/>
            </w:rPr>
            <w:tab/>
          </w:r>
          <w:r>
            <w:rPr>
              <w:rStyle w:val="16"/>
              <w:b/>
              <w:sz w:val="24"/>
              <w:szCs w:val="24"/>
            </w:rPr>
            <w:t>提升服务企业水平，持续优化营商环境</w:t>
          </w:r>
          <w:r>
            <w:rPr>
              <w:sz w:val="24"/>
              <w:szCs w:val="24"/>
            </w:rPr>
            <w:tab/>
          </w:r>
          <w:r>
            <w:rPr>
              <w:sz w:val="24"/>
              <w:szCs w:val="24"/>
            </w:rPr>
            <w:fldChar w:fldCharType="begin"/>
          </w:r>
          <w:r>
            <w:rPr>
              <w:sz w:val="24"/>
              <w:szCs w:val="24"/>
            </w:rPr>
            <w:instrText xml:space="preserve"> PAGEREF _Toc63321838 \h </w:instrText>
          </w:r>
          <w:r>
            <w:rPr>
              <w:sz w:val="24"/>
              <w:szCs w:val="24"/>
            </w:rPr>
            <w:fldChar w:fldCharType="separate"/>
          </w:r>
          <w:r>
            <w:rPr>
              <w:sz w:val="24"/>
              <w:szCs w:val="24"/>
            </w:rPr>
            <w:t>24</w:t>
          </w:r>
          <w:r>
            <w:rPr>
              <w:sz w:val="24"/>
              <w:szCs w:val="24"/>
            </w:rPr>
            <w:fldChar w:fldCharType="end"/>
          </w:r>
          <w:r>
            <w:rPr>
              <w:sz w:val="24"/>
              <w:szCs w:val="24"/>
            </w:rPr>
            <w:fldChar w:fldCharType="end"/>
          </w:r>
        </w:p>
        <w:p w14:paraId="243D2737">
          <w:pPr>
            <w:pStyle w:val="6"/>
            <w:tabs>
              <w:tab w:val="right" w:leader="dot" w:pos="8296"/>
            </w:tabs>
            <w:spacing w:line="360" w:lineRule="auto"/>
            <w:rPr>
              <w:sz w:val="24"/>
              <w:szCs w:val="24"/>
            </w:rPr>
          </w:pPr>
          <w:r>
            <w:fldChar w:fldCharType="begin"/>
          </w:r>
          <w:r>
            <w:instrText xml:space="preserve"> HYPERLINK \l "_Toc63321839" </w:instrText>
          </w:r>
          <w:r>
            <w:fldChar w:fldCharType="separate"/>
          </w:r>
          <w:r>
            <w:rPr>
              <w:rStyle w:val="16"/>
              <w:sz w:val="24"/>
              <w:szCs w:val="24"/>
            </w:rPr>
            <w:t>（一） 持续提升政务服务水平</w:t>
          </w:r>
          <w:r>
            <w:rPr>
              <w:sz w:val="24"/>
              <w:szCs w:val="24"/>
            </w:rPr>
            <w:tab/>
          </w:r>
          <w:r>
            <w:rPr>
              <w:sz w:val="24"/>
              <w:szCs w:val="24"/>
            </w:rPr>
            <w:fldChar w:fldCharType="begin"/>
          </w:r>
          <w:r>
            <w:rPr>
              <w:sz w:val="24"/>
              <w:szCs w:val="24"/>
            </w:rPr>
            <w:instrText xml:space="preserve"> PAGEREF _Toc63321839 \h </w:instrText>
          </w:r>
          <w:r>
            <w:rPr>
              <w:sz w:val="24"/>
              <w:szCs w:val="24"/>
            </w:rPr>
            <w:fldChar w:fldCharType="separate"/>
          </w:r>
          <w:r>
            <w:rPr>
              <w:sz w:val="24"/>
              <w:szCs w:val="24"/>
            </w:rPr>
            <w:t>24</w:t>
          </w:r>
          <w:r>
            <w:rPr>
              <w:sz w:val="24"/>
              <w:szCs w:val="24"/>
            </w:rPr>
            <w:fldChar w:fldCharType="end"/>
          </w:r>
          <w:r>
            <w:rPr>
              <w:sz w:val="24"/>
              <w:szCs w:val="24"/>
            </w:rPr>
            <w:fldChar w:fldCharType="end"/>
          </w:r>
        </w:p>
        <w:p w14:paraId="5916333C">
          <w:pPr>
            <w:pStyle w:val="6"/>
            <w:tabs>
              <w:tab w:val="right" w:leader="dot" w:pos="8296"/>
            </w:tabs>
            <w:spacing w:line="360" w:lineRule="auto"/>
            <w:rPr>
              <w:sz w:val="24"/>
              <w:szCs w:val="24"/>
            </w:rPr>
          </w:pPr>
          <w:r>
            <w:fldChar w:fldCharType="begin"/>
          </w:r>
          <w:r>
            <w:instrText xml:space="preserve"> HYPERLINK \l "_Toc63321840" </w:instrText>
          </w:r>
          <w:r>
            <w:fldChar w:fldCharType="separate"/>
          </w:r>
          <w:r>
            <w:rPr>
              <w:rStyle w:val="16"/>
              <w:sz w:val="24"/>
              <w:szCs w:val="24"/>
            </w:rPr>
            <w:t>（二） 完善工程担保制度</w:t>
          </w:r>
          <w:r>
            <w:rPr>
              <w:sz w:val="24"/>
              <w:szCs w:val="24"/>
            </w:rPr>
            <w:tab/>
          </w:r>
          <w:r>
            <w:rPr>
              <w:sz w:val="24"/>
              <w:szCs w:val="24"/>
            </w:rPr>
            <w:fldChar w:fldCharType="begin"/>
          </w:r>
          <w:r>
            <w:rPr>
              <w:sz w:val="24"/>
              <w:szCs w:val="24"/>
            </w:rPr>
            <w:instrText xml:space="preserve"> PAGEREF _Toc63321840 \h </w:instrText>
          </w:r>
          <w:r>
            <w:rPr>
              <w:sz w:val="24"/>
              <w:szCs w:val="24"/>
            </w:rPr>
            <w:fldChar w:fldCharType="separate"/>
          </w:r>
          <w:r>
            <w:rPr>
              <w:sz w:val="24"/>
              <w:szCs w:val="24"/>
            </w:rPr>
            <w:t>24</w:t>
          </w:r>
          <w:r>
            <w:rPr>
              <w:sz w:val="24"/>
              <w:szCs w:val="24"/>
            </w:rPr>
            <w:fldChar w:fldCharType="end"/>
          </w:r>
          <w:r>
            <w:rPr>
              <w:sz w:val="24"/>
              <w:szCs w:val="24"/>
            </w:rPr>
            <w:fldChar w:fldCharType="end"/>
          </w:r>
        </w:p>
        <w:p w14:paraId="43B85EDC">
          <w:pPr>
            <w:pStyle w:val="6"/>
            <w:tabs>
              <w:tab w:val="right" w:leader="dot" w:pos="8296"/>
            </w:tabs>
            <w:spacing w:line="360" w:lineRule="auto"/>
            <w:rPr>
              <w:sz w:val="24"/>
              <w:szCs w:val="24"/>
            </w:rPr>
          </w:pPr>
          <w:r>
            <w:fldChar w:fldCharType="begin"/>
          </w:r>
          <w:r>
            <w:instrText xml:space="preserve"> HYPERLINK \l "_Toc63321841" </w:instrText>
          </w:r>
          <w:r>
            <w:fldChar w:fldCharType="separate"/>
          </w:r>
          <w:r>
            <w:rPr>
              <w:rStyle w:val="16"/>
              <w:sz w:val="24"/>
              <w:szCs w:val="24"/>
            </w:rPr>
            <w:t>（三） 完善工程造价市场化机制</w:t>
          </w:r>
          <w:r>
            <w:rPr>
              <w:sz w:val="24"/>
              <w:szCs w:val="24"/>
            </w:rPr>
            <w:tab/>
          </w:r>
          <w:r>
            <w:rPr>
              <w:sz w:val="24"/>
              <w:szCs w:val="24"/>
            </w:rPr>
            <w:fldChar w:fldCharType="begin"/>
          </w:r>
          <w:r>
            <w:rPr>
              <w:sz w:val="24"/>
              <w:szCs w:val="24"/>
            </w:rPr>
            <w:instrText xml:space="preserve"> PAGEREF _Toc63321841 \h </w:instrText>
          </w:r>
          <w:r>
            <w:rPr>
              <w:sz w:val="24"/>
              <w:szCs w:val="24"/>
            </w:rPr>
            <w:fldChar w:fldCharType="separate"/>
          </w:r>
          <w:r>
            <w:rPr>
              <w:sz w:val="24"/>
              <w:szCs w:val="24"/>
            </w:rPr>
            <w:t>25</w:t>
          </w:r>
          <w:r>
            <w:rPr>
              <w:sz w:val="24"/>
              <w:szCs w:val="24"/>
            </w:rPr>
            <w:fldChar w:fldCharType="end"/>
          </w:r>
          <w:r>
            <w:rPr>
              <w:sz w:val="24"/>
              <w:szCs w:val="24"/>
            </w:rPr>
            <w:fldChar w:fldCharType="end"/>
          </w:r>
        </w:p>
        <w:p w14:paraId="131C0480">
          <w:pPr>
            <w:pStyle w:val="6"/>
            <w:tabs>
              <w:tab w:val="right" w:leader="dot" w:pos="8296"/>
            </w:tabs>
            <w:spacing w:line="360" w:lineRule="auto"/>
            <w:rPr>
              <w:sz w:val="24"/>
              <w:szCs w:val="24"/>
            </w:rPr>
          </w:pPr>
          <w:r>
            <w:fldChar w:fldCharType="begin"/>
          </w:r>
          <w:r>
            <w:instrText xml:space="preserve"> HYPERLINK \l "_Toc63321842" </w:instrText>
          </w:r>
          <w:r>
            <w:fldChar w:fldCharType="separate"/>
          </w:r>
          <w:r>
            <w:rPr>
              <w:rStyle w:val="16"/>
              <w:sz w:val="24"/>
              <w:szCs w:val="24"/>
            </w:rPr>
            <w:t>（四） 深入推进建筑市场京津冀协同发展</w:t>
          </w:r>
          <w:r>
            <w:rPr>
              <w:sz w:val="24"/>
              <w:szCs w:val="24"/>
            </w:rPr>
            <w:tab/>
          </w:r>
          <w:r>
            <w:rPr>
              <w:sz w:val="24"/>
              <w:szCs w:val="24"/>
            </w:rPr>
            <w:fldChar w:fldCharType="begin"/>
          </w:r>
          <w:r>
            <w:rPr>
              <w:sz w:val="24"/>
              <w:szCs w:val="24"/>
            </w:rPr>
            <w:instrText xml:space="preserve"> PAGEREF _Toc63321842 \h </w:instrText>
          </w:r>
          <w:r>
            <w:rPr>
              <w:sz w:val="24"/>
              <w:szCs w:val="24"/>
            </w:rPr>
            <w:fldChar w:fldCharType="separate"/>
          </w:r>
          <w:r>
            <w:rPr>
              <w:sz w:val="24"/>
              <w:szCs w:val="24"/>
            </w:rPr>
            <w:t>26</w:t>
          </w:r>
          <w:r>
            <w:rPr>
              <w:sz w:val="24"/>
              <w:szCs w:val="24"/>
            </w:rPr>
            <w:fldChar w:fldCharType="end"/>
          </w:r>
          <w:r>
            <w:rPr>
              <w:sz w:val="24"/>
              <w:szCs w:val="24"/>
            </w:rPr>
            <w:fldChar w:fldCharType="end"/>
          </w:r>
        </w:p>
        <w:p w14:paraId="34E56F87">
          <w:pPr>
            <w:pStyle w:val="6"/>
            <w:tabs>
              <w:tab w:val="right" w:leader="dot" w:pos="8296"/>
            </w:tabs>
            <w:spacing w:line="360" w:lineRule="auto"/>
            <w:rPr>
              <w:sz w:val="24"/>
              <w:szCs w:val="24"/>
            </w:rPr>
          </w:pPr>
          <w:r>
            <w:fldChar w:fldCharType="begin"/>
          </w:r>
          <w:r>
            <w:instrText xml:space="preserve"> HYPERLINK \l "_Toc63321843" </w:instrText>
          </w:r>
          <w:r>
            <w:fldChar w:fldCharType="separate"/>
          </w:r>
          <w:r>
            <w:rPr>
              <w:rStyle w:val="16"/>
              <w:sz w:val="24"/>
              <w:szCs w:val="24"/>
            </w:rPr>
            <w:t>（五） 针对企业需求做好精准服务</w:t>
          </w:r>
          <w:r>
            <w:rPr>
              <w:sz w:val="24"/>
              <w:szCs w:val="24"/>
            </w:rPr>
            <w:tab/>
          </w:r>
          <w:r>
            <w:rPr>
              <w:sz w:val="24"/>
              <w:szCs w:val="24"/>
            </w:rPr>
            <w:fldChar w:fldCharType="begin"/>
          </w:r>
          <w:r>
            <w:rPr>
              <w:sz w:val="24"/>
              <w:szCs w:val="24"/>
            </w:rPr>
            <w:instrText xml:space="preserve"> PAGEREF _Toc63321843 \h </w:instrText>
          </w:r>
          <w:r>
            <w:rPr>
              <w:sz w:val="24"/>
              <w:szCs w:val="24"/>
            </w:rPr>
            <w:fldChar w:fldCharType="separate"/>
          </w:r>
          <w:r>
            <w:rPr>
              <w:sz w:val="24"/>
              <w:szCs w:val="24"/>
            </w:rPr>
            <w:t>26</w:t>
          </w:r>
          <w:r>
            <w:rPr>
              <w:sz w:val="24"/>
              <w:szCs w:val="24"/>
            </w:rPr>
            <w:fldChar w:fldCharType="end"/>
          </w:r>
          <w:r>
            <w:rPr>
              <w:sz w:val="24"/>
              <w:szCs w:val="24"/>
            </w:rPr>
            <w:fldChar w:fldCharType="end"/>
          </w:r>
        </w:p>
        <w:p w14:paraId="60F45D64">
          <w:pPr>
            <w:pStyle w:val="10"/>
            <w:tabs>
              <w:tab w:val="right" w:leader="dot" w:pos="8296"/>
            </w:tabs>
            <w:spacing w:line="360" w:lineRule="auto"/>
            <w:rPr>
              <w:sz w:val="24"/>
              <w:szCs w:val="24"/>
            </w:rPr>
          </w:pPr>
          <w:r>
            <w:fldChar w:fldCharType="begin"/>
          </w:r>
          <w:r>
            <w:instrText xml:space="preserve"> HYPERLINK \l "_Toc63321844" </w:instrText>
          </w:r>
          <w:r>
            <w:fldChar w:fldCharType="separate"/>
          </w:r>
          <w:r>
            <w:rPr>
              <w:rStyle w:val="16"/>
              <w:b/>
              <w:sz w:val="24"/>
              <w:szCs w:val="24"/>
            </w:rPr>
            <w:t>第五部分  “十四五”时期天津市建筑业发展的保障措施</w:t>
          </w:r>
          <w:r>
            <w:rPr>
              <w:sz w:val="24"/>
              <w:szCs w:val="24"/>
            </w:rPr>
            <w:tab/>
          </w:r>
          <w:r>
            <w:rPr>
              <w:sz w:val="24"/>
              <w:szCs w:val="24"/>
            </w:rPr>
            <w:fldChar w:fldCharType="begin"/>
          </w:r>
          <w:r>
            <w:rPr>
              <w:sz w:val="24"/>
              <w:szCs w:val="24"/>
            </w:rPr>
            <w:instrText xml:space="preserve"> PAGEREF _Toc63321844 \h </w:instrText>
          </w:r>
          <w:r>
            <w:rPr>
              <w:sz w:val="24"/>
              <w:szCs w:val="24"/>
            </w:rPr>
            <w:fldChar w:fldCharType="separate"/>
          </w:r>
          <w:r>
            <w:rPr>
              <w:sz w:val="24"/>
              <w:szCs w:val="24"/>
            </w:rPr>
            <w:t>27</w:t>
          </w:r>
          <w:r>
            <w:rPr>
              <w:sz w:val="24"/>
              <w:szCs w:val="24"/>
            </w:rPr>
            <w:fldChar w:fldCharType="end"/>
          </w:r>
          <w:r>
            <w:rPr>
              <w:sz w:val="24"/>
              <w:szCs w:val="24"/>
            </w:rPr>
            <w:fldChar w:fldCharType="end"/>
          </w:r>
        </w:p>
        <w:p w14:paraId="19AFACE2">
          <w:pPr>
            <w:pStyle w:val="11"/>
            <w:tabs>
              <w:tab w:val="right" w:leader="dot" w:pos="8296"/>
            </w:tabs>
            <w:spacing w:line="360" w:lineRule="auto"/>
            <w:rPr>
              <w:sz w:val="24"/>
              <w:szCs w:val="24"/>
            </w:rPr>
          </w:pPr>
          <w:r>
            <w:fldChar w:fldCharType="begin"/>
          </w:r>
          <w:r>
            <w:instrText xml:space="preserve"> HYPERLINK \l "_Toc63321845" </w:instrText>
          </w:r>
          <w:r>
            <w:fldChar w:fldCharType="separate"/>
          </w:r>
          <w:r>
            <w:rPr>
              <w:rStyle w:val="16"/>
              <w:b/>
              <w:sz w:val="24"/>
              <w:szCs w:val="24"/>
            </w:rPr>
            <w:t>一、坚持党的领导</w:t>
          </w:r>
          <w:r>
            <w:rPr>
              <w:sz w:val="24"/>
              <w:szCs w:val="24"/>
            </w:rPr>
            <w:tab/>
          </w:r>
          <w:r>
            <w:rPr>
              <w:sz w:val="24"/>
              <w:szCs w:val="24"/>
            </w:rPr>
            <w:fldChar w:fldCharType="begin"/>
          </w:r>
          <w:r>
            <w:rPr>
              <w:sz w:val="24"/>
              <w:szCs w:val="24"/>
            </w:rPr>
            <w:instrText xml:space="preserve"> PAGEREF _Toc63321845 \h </w:instrText>
          </w:r>
          <w:r>
            <w:rPr>
              <w:sz w:val="24"/>
              <w:szCs w:val="24"/>
            </w:rPr>
            <w:fldChar w:fldCharType="separate"/>
          </w:r>
          <w:r>
            <w:rPr>
              <w:sz w:val="24"/>
              <w:szCs w:val="24"/>
            </w:rPr>
            <w:t>27</w:t>
          </w:r>
          <w:r>
            <w:rPr>
              <w:sz w:val="24"/>
              <w:szCs w:val="24"/>
            </w:rPr>
            <w:fldChar w:fldCharType="end"/>
          </w:r>
          <w:r>
            <w:rPr>
              <w:sz w:val="24"/>
              <w:szCs w:val="24"/>
            </w:rPr>
            <w:fldChar w:fldCharType="end"/>
          </w:r>
        </w:p>
        <w:p w14:paraId="03880EA1">
          <w:pPr>
            <w:pStyle w:val="11"/>
            <w:tabs>
              <w:tab w:val="right" w:leader="dot" w:pos="8296"/>
            </w:tabs>
            <w:spacing w:line="360" w:lineRule="auto"/>
            <w:rPr>
              <w:sz w:val="24"/>
              <w:szCs w:val="24"/>
            </w:rPr>
          </w:pPr>
          <w:r>
            <w:fldChar w:fldCharType="begin"/>
          </w:r>
          <w:r>
            <w:instrText xml:space="preserve"> HYPERLINK \l "_Toc63321846" </w:instrText>
          </w:r>
          <w:r>
            <w:fldChar w:fldCharType="separate"/>
          </w:r>
          <w:r>
            <w:rPr>
              <w:rStyle w:val="16"/>
              <w:b/>
              <w:sz w:val="24"/>
              <w:szCs w:val="24"/>
            </w:rPr>
            <w:t>二、加强宣传沟通</w:t>
          </w:r>
          <w:r>
            <w:rPr>
              <w:sz w:val="24"/>
              <w:szCs w:val="24"/>
            </w:rPr>
            <w:tab/>
          </w:r>
          <w:r>
            <w:rPr>
              <w:sz w:val="24"/>
              <w:szCs w:val="24"/>
            </w:rPr>
            <w:fldChar w:fldCharType="begin"/>
          </w:r>
          <w:r>
            <w:rPr>
              <w:sz w:val="24"/>
              <w:szCs w:val="24"/>
            </w:rPr>
            <w:instrText xml:space="preserve"> PAGEREF _Toc63321846 \h </w:instrText>
          </w:r>
          <w:r>
            <w:rPr>
              <w:sz w:val="24"/>
              <w:szCs w:val="24"/>
            </w:rPr>
            <w:fldChar w:fldCharType="separate"/>
          </w:r>
          <w:r>
            <w:rPr>
              <w:sz w:val="24"/>
              <w:szCs w:val="24"/>
            </w:rPr>
            <w:t>27</w:t>
          </w:r>
          <w:r>
            <w:rPr>
              <w:sz w:val="24"/>
              <w:szCs w:val="24"/>
            </w:rPr>
            <w:fldChar w:fldCharType="end"/>
          </w:r>
          <w:r>
            <w:rPr>
              <w:sz w:val="24"/>
              <w:szCs w:val="24"/>
            </w:rPr>
            <w:fldChar w:fldCharType="end"/>
          </w:r>
        </w:p>
        <w:p w14:paraId="15A5F6A1">
          <w:pPr>
            <w:pStyle w:val="11"/>
            <w:tabs>
              <w:tab w:val="right" w:leader="dot" w:pos="8296"/>
            </w:tabs>
            <w:spacing w:line="360" w:lineRule="auto"/>
            <w:rPr>
              <w:sz w:val="24"/>
              <w:szCs w:val="24"/>
            </w:rPr>
          </w:pPr>
          <w:r>
            <w:fldChar w:fldCharType="begin"/>
          </w:r>
          <w:r>
            <w:instrText xml:space="preserve"> HYPERLINK \l "_Toc63321847" </w:instrText>
          </w:r>
          <w:r>
            <w:fldChar w:fldCharType="separate"/>
          </w:r>
          <w:r>
            <w:rPr>
              <w:rStyle w:val="16"/>
              <w:b/>
              <w:sz w:val="24"/>
              <w:szCs w:val="24"/>
            </w:rPr>
            <w:t>三、细化落实方案</w:t>
          </w:r>
          <w:r>
            <w:rPr>
              <w:sz w:val="24"/>
              <w:szCs w:val="24"/>
            </w:rPr>
            <w:tab/>
          </w:r>
          <w:r>
            <w:rPr>
              <w:sz w:val="24"/>
              <w:szCs w:val="24"/>
            </w:rPr>
            <w:fldChar w:fldCharType="begin"/>
          </w:r>
          <w:r>
            <w:rPr>
              <w:sz w:val="24"/>
              <w:szCs w:val="24"/>
            </w:rPr>
            <w:instrText xml:space="preserve"> PAGEREF _Toc63321847 \h </w:instrText>
          </w:r>
          <w:r>
            <w:rPr>
              <w:sz w:val="24"/>
              <w:szCs w:val="24"/>
            </w:rPr>
            <w:fldChar w:fldCharType="separate"/>
          </w:r>
          <w:r>
            <w:rPr>
              <w:sz w:val="24"/>
              <w:szCs w:val="24"/>
            </w:rPr>
            <w:t>27</w:t>
          </w:r>
          <w:r>
            <w:rPr>
              <w:sz w:val="24"/>
              <w:szCs w:val="24"/>
            </w:rPr>
            <w:fldChar w:fldCharType="end"/>
          </w:r>
          <w:r>
            <w:rPr>
              <w:sz w:val="24"/>
              <w:szCs w:val="24"/>
            </w:rPr>
            <w:fldChar w:fldCharType="end"/>
          </w:r>
        </w:p>
        <w:p w14:paraId="1AF3448C">
          <w:pPr>
            <w:pStyle w:val="11"/>
            <w:tabs>
              <w:tab w:val="right" w:leader="dot" w:pos="8296"/>
            </w:tabs>
            <w:spacing w:line="360" w:lineRule="auto"/>
            <w:rPr>
              <w:sz w:val="24"/>
              <w:szCs w:val="24"/>
            </w:rPr>
          </w:pPr>
          <w:r>
            <w:fldChar w:fldCharType="begin"/>
          </w:r>
          <w:r>
            <w:instrText xml:space="preserve"> HYPERLINK \l "_Toc63321848" </w:instrText>
          </w:r>
          <w:r>
            <w:fldChar w:fldCharType="separate"/>
          </w:r>
          <w:r>
            <w:rPr>
              <w:rStyle w:val="16"/>
              <w:b/>
              <w:sz w:val="24"/>
              <w:szCs w:val="24"/>
            </w:rPr>
            <w:t>四、强化制度保障</w:t>
          </w:r>
          <w:r>
            <w:rPr>
              <w:sz w:val="24"/>
              <w:szCs w:val="24"/>
            </w:rPr>
            <w:tab/>
          </w:r>
          <w:r>
            <w:rPr>
              <w:sz w:val="24"/>
              <w:szCs w:val="24"/>
            </w:rPr>
            <w:fldChar w:fldCharType="begin"/>
          </w:r>
          <w:r>
            <w:rPr>
              <w:sz w:val="24"/>
              <w:szCs w:val="24"/>
            </w:rPr>
            <w:instrText xml:space="preserve"> PAGEREF _Toc63321848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56889EFD">
          <w:pPr>
            <w:spacing w:line="360" w:lineRule="auto"/>
            <w:rPr>
              <w:sz w:val="24"/>
              <w:szCs w:val="24"/>
            </w:rPr>
          </w:pPr>
          <w:r>
            <w:rPr>
              <w:b/>
              <w:bCs/>
              <w:sz w:val="24"/>
              <w:szCs w:val="24"/>
              <w:lang w:val="zh-CN"/>
            </w:rPr>
            <w:fldChar w:fldCharType="end"/>
          </w:r>
        </w:p>
      </w:sdtContent>
    </w:sdt>
    <w:p w14:paraId="1EEF8E3A">
      <w:pPr>
        <w:snapToGrid w:val="0"/>
        <w:spacing w:line="360" w:lineRule="auto"/>
        <w:rPr>
          <w:rFonts w:ascii="宋体" w:hAnsi="宋体" w:eastAsia="宋体"/>
          <w:color w:val="00000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7DB08660">
      <w:pPr>
        <w:pStyle w:val="2"/>
        <w:jc w:val="center"/>
        <w:rPr>
          <w:b/>
          <w:bCs w:val="0"/>
        </w:rPr>
      </w:pPr>
      <w:bookmarkStart w:id="0" w:name="_Toc63321793"/>
      <w:r>
        <w:rPr>
          <w:rFonts w:hint="eastAsia"/>
          <w:b/>
          <w:bCs w:val="0"/>
        </w:rPr>
        <w:t xml:space="preserve">前 </w:t>
      </w:r>
      <w:r>
        <w:rPr>
          <w:b/>
          <w:bCs w:val="0"/>
        </w:rPr>
        <w:t xml:space="preserve">  </w:t>
      </w:r>
      <w:r>
        <w:rPr>
          <w:rFonts w:hint="eastAsia"/>
          <w:b/>
          <w:bCs w:val="0"/>
        </w:rPr>
        <w:t>言</w:t>
      </w:r>
      <w:bookmarkEnd w:id="0"/>
    </w:p>
    <w:p w14:paraId="781FF9C6">
      <w:pPr>
        <w:ind w:firstLine="560" w:firstLineChars="200"/>
        <w:rPr>
          <w:sz w:val="28"/>
          <w:szCs w:val="32"/>
        </w:rPr>
      </w:pPr>
      <w:r>
        <w:rPr>
          <w:rFonts w:hint="eastAsia"/>
          <w:sz w:val="28"/>
          <w:szCs w:val="32"/>
        </w:rPr>
        <w:t>建筑业是国民经济的支柱产业，是很多其他行业赖以发展的基础性行业。我市建筑业在“十三五”期间取得了长足发展，有力地推动了全市经济社会发展，广大建筑企业自身实力也有了显著增强。</w:t>
      </w:r>
      <w:r>
        <w:rPr>
          <w:rFonts w:hint="eastAsia"/>
          <w:b/>
          <w:sz w:val="28"/>
          <w:szCs w:val="32"/>
        </w:rPr>
        <w:t>“十四五”时期将在全面建成小康社会的基础上推动高质量发展，构建新发展格局，开启全面建设社会主义现代化国家新征程。也必将是建筑行业寻求改革突破、加快创新发展步伐的关键时期。</w:t>
      </w:r>
      <w:r>
        <w:rPr>
          <w:rFonts w:hint="eastAsia"/>
          <w:sz w:val="28"/>
          <w:szCs w:val="32"/>
        </w:rPr>
        <w:t>在此基础上科学编制天津市建筑业“十四五”规划，对于正确认识建筑业面临的机遇和挑战，明确未来五年行业的发展目标、重点任务，引领广大建筑企业认清形势、抢抓机遇，顺应行业发展趋势，扩大自主创新能力，加快转型升级步伐，从而促进我市建筑业高质量发展具有重要的指导意义。</w:t>
      </w:r>
    </w:p>
    <w:p w14:paraId="7DBE0628">
      <w:pPr>
        <w:ind w:firstLine="560" w:firstLineChars="200"/>
        <w:rPr>
          <w:sz w:val="28"/>
          <w:szCs w:val="32"/>
        </w:rPr>
      </w:pPr>
      <w:r>
        <w:rPr>
          <w:rFonts w:hint="eastAsia"/>
          <w:sz w:val="28"/>
          <w:szCs w:val="32"/>
        </w:rPr>
        <w:t>本规划以《中共中央关于制定国民经济和社会发展第十四个五年规划和二〇三五年远景目标的建议》、《中共天津市委关于制定国民经济和社会发展第十四个五年规划和二〇三五年远景目标的建议》为指导，以《国务院关于促进建筑业持续健康发展的意见》、《天津市建委关于促进我市建筑业持续健康发展的实施意见》以及住建部关于建筑业改革发展的部署要求等相关政策文件为主要依据，在此基础上结合天津市实际情况，通过广泛的调查研究、分析论证，征询主管部门、高校、科研单位、建筑企业和有关人士的意见，制定本规划。</w:t>
      </w:r>
    </w:p>
    <w:p w14:paraId="7DFF15A7">
      <w:pPr>
        <w:pStyle w:val="2"/>
        <w:spacing w:before="240" w:after="240" w:line="336" w:lineRule="auto"/>
        <w:jc w:val="center"/>
        <w:rPr>
          <w:b/>
          <w:bCs w:val="0"/>
        </w:rPr>
      </w:pPr>
      <w:bookmarkStart w:id="1" w:name="_Toc63321794"/>
      <w:r>
        <w:rPr>
          <w:rFonts w:hint="eastAsia"/>
          <w:b/>
          <w:bCs w:val="0"/>
        </w:rPr>
        <w:t>第一部分</w:t>
      </w:r>
      <w:r>
        <w:rPr>
          <w:b/>
          <w:bCs w:val="0"/>
        </w:rPr>
        <w:t xml:space="preserve">  “</w:t>
      </w:r>
      <w:r>
        <w:rPr>
          <w:rFonts w:hint="eastAsia"/>
          <w:b/>
          <w:bCs w:val="0"/>
        </w:rPr>
        <w:t>十三五</w:t>
      </w:r>
      <w:r>
        <w:rPr>
          <w:b/>
          <w:bCs w:val="0"/>
        </w:rPr>
        <w:t>”</w:t>
      </w:r>
      <w:r>
        <w:rPr>
          <w:rFonts w:hint="eastAsia"/>
          <w:b/>
          <w:bCs w:val="0"/>
        </w:rPr>
        <w:t>期间天津市建筑业发展回顾</w:t>
      </w:r>
      <w:bookmarkEnd w:id="1"/>
    </w:p>
    <w:p w14:paraId="3DEEA1E0">
      <w:pPr>
        <w:pStyle w:val="3"/>
        <w:spacing w:before="180" w:after="180" w:line="360" w:lineRule="auto"/>
        <w:rPr>
          <w:b/>
          <w:bCs w:val="0"/>
        </w:rPr>
      </w:pPr>
      <w:bookmarkStart w:id="2" w:name="_Toc63321795"/>
      <w:r>
        <w:rPr>
          <w:rFonts w:hint="eastAsia"/>
          <w:b/>
          <w:bCs w:val="0"/>
        </w:rPr>
        <w:t>一、总体上保持稳步发展</w:t>
      </w:r>
      <w:bookmarkEnd w:id="2"/>
    </w:p>
    <w:p w14:paraId="06C4F21C">
      <w:pPr>
        <w:spacing w:line="360" w:lineRule="auto"/>
        <w:ind w:firstLine="585"/>
        <w:rPr>
          <w:sz w:val="28"/>
          <w:szCs w:val="28"/>
        </w:rPr>
      </w:pPr>
      <w:r>
        <w:rPr>
          <w:rFonts w:hint="eastAsia"/>
          <w:sz w:val="28"/>
          <w:szCs w:val="28"/>
        </w:rPr>
        <w:t>“十三五”时期，天津市建筑业围绕建设“五个现代化天津”，坚持创新发展，着力转变发展方式、着力破解发展难题、着力规范市场行为、着力推动京津冀协同发展，在不断提升整体实力的基础上，保持平稳健康发展的态势。</w:t>
      </w:r>
    </w:p>
    <w:p w14:paraId="363714A0">
      <w:pPr>
        <w:snapToGrid w:val="0"/>
        <w:spacing w:line="360" w:lineRule="auto"/>
        <w:rPr>
          <w:rFonts w:ascii="宋体" w:hAnsi="宋体" w:eastAsia="宋体"/>
          <w:sz w:val="28"/>
          <w:szCs w:val="28"/>
        </w:rPr>
      </w:pPr>
      <w:r>
        <w:t xml:space="preserve">     </w:t>
      </w:r>
      <w:r>
        <w:rPr>
          <w:rFonts w:ascii="宋体" w:hAnsi="宋体" w:eastAsia="宋体"/>
          <w:color w:val="000000"/>
          <w:sz w:val="28"/>
          <w:szCs w:val="28"/>
        </w:rPr>
        <w:t>“十三五”期间我市全市完成建筑业产值</w:t>
      </w:r>
      <w:r>
        <w:rPr>
          <w:rFonts w:hint="eastAsia" w:ascii="宋体" w:hAnsi="宋体" w:eastAsia="宋体"/>
          <w:color w:val="000000"/>
          <w:sz w:val="28"/>
          <w:szCs w:val="28"/>
        </w:rPr>
        <w:t>21430</w:t>
      </w:r>
      <w:r>
        <w:rPr>
          <w:rFonts w:ascii="宋体" w:hAnsi="宋体" w:eastAsia="宋体"/>
          <w:color w:val="000000"/>
          <w:sz w:val="28"/>
          <w:szCs w:val="28"/>
        </w:rPr>
        <w:t>亿元，实现增加值3600亿元。同时，我市建筑业企业的外埠市场开拓能力大幅提升</w:t>
      </w:r>
      <w:r>
        <w:rPr>
          <w:rFonts w:hint="eastAsia" w:ascii="宋体" w:hAnsi="宋体" w:eastAsia="宋体"/>
          <w:color w:val="000000"/>
          <w:sz w:val="28"/>
          <w:szCs w:val="28"/>
        </w:rPr>
        <w:t>，2020年我市建筑业企业在外省完成产值2875亿元，占全市建筑业产值的65.5%，比“十二五”末增长28.7个百分点。</w:t>
      </w:r>
    </w:p>
    <w:p w14:paraId="7A1F1770">
      <w:pPr>
        <w:snapToGrid w:val="0"/>
        <w:spacing w:line="360" w:lineRule="auto"/>
        <w:ind w:firstLine="560" w:firstLineChars="200"/>
        <w:rPr>
          <w:rFonts w:ascii="宋体" w:hAnsi="宋体" w:eastAsia="宋体"/>
          <w:sz w:val="28"/>
          <w:szCs w:val="28"/>
        </w:rPr>
      </w:pPr>
      <w:r>
        <w:rPr>
          <w:rFonts w:ascii="宋体" w:hAnsi="宋体" w:eastAsia="宋体"/>
          <w:sz w:val="28"/>
          <w:szCs w:val="28"/>
        </w:rPr>
        <w:t>“十三五”期间我市建筑</w:t>
      </w:r>
      <w:r>
        <w:rPr>
          <w:rFonts w:hint="eastAsia" w:ascii="宋体" w:hAnsi="宋体" w:eastAsia="宋体"/>
          <w:sz w:val="28"/>
          <w:szCs w:val="28"/>
        </w:rPr>
        <w:t>施工</w:t>
      </w:r>
      <w:r>
        <w:rPr>
          <w:rFonts w:ascii="宋体" w:hAnsi="宋体" w:eastAsia="宋体"/>
          <w:sz w:val="28"/>
          <w:szCs w:val="28"/>
        </w:rPr>
        <w:t>企业数量逐年增长，</w:t>
      </w:r>
      <w:r>
        <w:rPr>
          <w:rFonts w:hint="eastAsia" w:ascii="宋体" w:hAnsi="宋体" w:eastAsia="宋体"/>
          <w:sz w:val="28"/>
          <w:szCs w:val="28"/>
        </w:rPr>
        <w:t>由2016年的4533家增长到2020年底的</w:t>
      </w:r>
      <w:r>
        <w:rPr>
          <w:rFonts w:ascii="宋体" w:hAnsi="宋体" w:eastAsia="宋体"/>
          <w:sz w:val="28"/>
          <w:szCs w:val="28"/>
        </w:rPr>
        <w:t>9472</w:t>
      </w:r>
      <w:r>
        <w:rPr>
          <w:rFonts w:hint="eastAsia" w:ascii="宋体" w:hAnsi="宋体" w:eastAsia="宋体"/>
          <w:sz w:val="28"/>
          <w:szCs w:val="28"/>
        </w:rPr>
        <w:t>家，增幅109%，其中</w:t>
      </w:r>
      <w:r>
        <w:rPr>
          <w:rFonts w:ascii="宋体" w:hAnsi="宋体" w:eastAsia="宋体"/>
          <w:sz w:val="28"/>
          <w:szCs w:val="28"/>
        </w:rPr>
        <w:t>特</w:t>
      </w:r>
      <w:r>
        <w:rPr>
          <w:rFonts w:hint="eastAsia" w:ascii="宋体" w:hAnsi="宋体" w:eastAsia="宋体"/>
          <w:sz w:val="28"/>
          <w:szCs w:val="28"/>
        </w:rPr>
        <w:t>级总承包企业17家，</w:t>
      </w:r>
      <w:r>
        <w:rPr>
          <w:rFonts w:ascii="宋体" w:hAnsi="宋体" w:eastAsia="宋体"/>
          <w:sz w:val="28"/>
          <w:szCs w:val="28"/>
        </w:rPr>
        <w:t>比“十二五”末增加</w:t>
      </w:r>
      <w:r>
        <w:rPr>
          <w:rFonts w:hint="eastAsia" w:ascii="宋体" w:hAnsi="宋体" w:eastAsia="宋体"/>
          <w:sz w:val="28"/>
          <w:szCs w:val="28"/>
        </w:rPr>
        <w:t>9</w:t>
      </w:r>
      <w:r>
        <w:rPr>
          <w:rFonts w:ascii="宋体" w:hAnsi="宋体" w:eastAsia="宋体"/>
          <w:sz w:val="28"/>
          <w:szCs w:val="28"/>
        </w:rPr>
        <w:t>家</w:t>
      </w:r>
      <w:r>
        <w:rPr>
          <w:rFonts w:hint="eastAsia" w:ascii="宋体" w:hAnsi="宋体" w:eastAsia="宋体"/>
          <w:sz w:val="28"/>
          <w:szCs w:val="28"/>
        </w:rPr>
        <w:t>,增幅113%；中介服务企业得到长足发展，2020年底我市有</w:t>
      </w:r>
      <w:r>
        <w:rPr>
          <w:rFonts w:ascii="宋体" w:hAnsi="宋体" w:eastAsia="宋体"/>
          <w:sz w:val="28"/>
          <w:szCs w:val="28"/>
        </w:rPr>
        <w:t>监理企业</w:t>
      </w:r>
      <w:r>
        <w:rPr>
          <w:rFonts w:hint="eastAsia" w:ascii="宋体" w:hAnsi="宋体" w:eastAsia="宋体"/>
          <w:sz w:val="28"/>
          <w:szCs w:val="28"/>
        </w:rPr>
        <w:t>1</w:t>
      </w:r>
      <w:r>
        <w:rPr>
          <w:rFonts w:ascii="宋体" w:hAnsi="宋体" w:eastAsia="宋体"/>
          <w:sz w:val="28"/>
          <w:szCs w:val="28"/>
        </w:rPr>
        <w:t>46家，</w:t>
      </w:r>
      <w:r>
        <w:rPr>
          <w:rFonts w:hint="eastAsia" w:ascii="宋体" w:hAnsi="宋体" w:eastAsia="宋体"/>
          <w:sz w:val="28"/>
          <w:szCs w:val="28"/>
        </w:rPr>
        <w:t>五年增长29%；</w:t>
      </w:r>
      <w:r>
        <w:rPr>
          <w:rFonts w:ascii="宋体" w:hAnsi="宋体" w:eastAsia="宋体"/>
          <w:sz w:val="28"/>
          <w:szCs w:val="28"/>
        </w:rPr>
        <w:t>造价企业</w:t>
      </w:r>
      <w:r>
        <w:rPr>
          <w:rFonts w:hint="eastAsia" w:ascii="宋体" w:hAnsi="宋体" w:eastAsia="宋体"/>
          <w:sz w:val="28"/>
          <w:szCs w:val="28"/>
        </w:rPr>
        <w:t>1</w:t>
      </w:r>
      <w:r>
        <w:rPr>
          <w:rFonts w:ascii="宋体" w:hAnsi="宋体" w:eastAsia="宋体"/>
          <w:sz w:val="28"/>
          <w:szCs w:val="28"/>
        </w:rPr>
        <w:t>87家</w:t>
      </w:r>
      <w:r>
        <w:rPr>
          <w:rFonts w:hint="eastAsia" w:ascii="宋体" w:hAnsi="宋体" w:eastAsia="宋体"/>
          <w:sz w:val="28"/>
          <w:szCs w:val="28"/>
        </w:rPr>
        <w:t>，五年增长59%</w:t>
      </w:r>
      <w:r>
        <w:rPr>
          <w:rFonts w:ascii="宋体" w:hAnsi="宋体" w:eastAsia="宋体"/>
          <w:sz w:val="28"/>
          <w:szCs w:val="28"/>
        </w:rPr>
        <w:t>。</w:t>
      </w:r>
    </w:p>
    <w:p w14:paraId="410359E0">
      <w:pPr>
        <w:snapToGrid w:val="0"/>
        <w:spacing w:line="360" w:lineRule="auto"/>
        <w:ind w:firstLine="560" w:firstLineChars="200"/>
        <w:rPr>
          <w:rFonts w:ascii="宋体" w:hAnsi="宋体" w:eastAsia="宋体"/>
          <w:sz w:val="28"/>
          <w:szCs w:val="28"/>
        </w:rPr>
      </w:pPr>
      <w:r>
        <w:rPr>
          <w:rFonts w:ascii="宋体" w:hAnsi="宋体" w:eastAsia="宋体"/>
          <w:sz w:val="28"/>
          <w:szCs w:val="28"/>
        </w:rPr>
        <w:t>截至20</w:t>
      </w:r>
      <w:r>
        <w:rPr>
          <w:rFonts w:hint="eastAsia" w:ascii="宋体" w:hAnsi="宋体" w:eastAsia="宋体"/>
          <w:sz w:val="28"/>
          <w:szCs w:val="28"/>
        </w:rPr>
        <w:t>20</w:t>
      </w:r>
      <w:r>
        <w:rPr>
          <w:rFonts w:ascii="宋体" w:hAnsi="宋体" w:eastAsia="宋体"/>
          <w:sz w:val="28"/>
          <w:szCs w:val="28"/>
        </w:rPr>
        <w:t>年底，全市建筑企业从业人员</w:t>
      </w:r>
      <w:r>
        <w:rPr>
          <w:rFonts w:hint="eastAsia" w:ascii="宋体" w:hAnsi="宋体" w:eastAsia="宋体"/>
          <w:sz w:val="28"/>
          <w:szCs w:val="28"/>
        </w:rPr>
        <w:t>2</w:t>
      </w:r>
      <w:r>
        <w:rPr>
          <w:rFonts w:ascii="宋体" w:hAnsi="宋体" w:eastAsia="宋体"/>
          <w:sz w:val="28"/>
          <w:szCs w:val="28"/>
        </w:rPr>
        <w:t>32962人，其中，一级注册建造师</w:t>
      </w:r>
      <w:r>
        <w:rPr>
          <w:rFonts w:hint="eastAsia" w:ascii="宋体" w:hAnsi="宋体" w:eastAsia="宋体"/>
          <w:sz w:val="28"/>
          <w:szCs w:val="28"/>
        </w:rPr>
        <w:t>2</w:t>
      </w:r>
      <w:r>
        <w:rPr>
          <w:rFonts w:ascii="宋体" w:hAnsi="宋体" w:eastAsia="宋体"/>
          <w:sz w:val="28"/>
          <w:szCs w:val="28"/>
        </w:rPr>
        <w:t>0109人，二级注册建造师</w:t>
      </w:r>
      <w:r>
        <w:rPr>
          <w:rFonts w:hint="eastAsia" w:ascii="宋体" w:hAnsi="宋体" w:eastAsia="宋体"/>
          <w:sz w:val="28"/>
          <w:szCs w:val="28"/>
        </w:rPr>
        <w:t>2</w:t>
      </w:r>
      <w:r>
        <w:rPr>
          <w:rFonts w:ascii="宋体" w:hAnsi="宋体" w:eastAsia="宋体"/>
          <w:sz w:val="28"/>
          <w:szCs w:val="28"/>
        </w:rPr>
        <w:t>4851人，注册监理工程师</w:t>
      </w:r>
      <w:r>
        <w:rPr>
          <w:rFonts w:hint="eastAsia" w:ascii="宋体" w:hAnsi="宋体" w:eastAsia="宋体"/>
          <w:sz w:val="28"/>
          <w:szCs w:val="28"/>
        </w:rPr>
        <w:t>4</w:t>
      </w:r>
      <w:r>
        <w:rPr>
          <w:rFonts w:ascii="宋体" w:hAnsi="宋体" w:eastAsia="宋体"/>
          <w:sz w:val="28"/>
          <w:szCs w:val="28"/>
        </w:rPr>
        <w:t>063人，注册造价工程师</w:t>
      </w:r>
      <w:r>
        <w:rPr>
          <w:rFonts w:hint="eastAsia" w:ascii="宋体" w:hAnsi="宋体" w:eastAsia="宋体"/>
          <w:sz w:val="28"/>
          <w:szCs w:val="28"/>
        </w:rPr>
        <w:t>4</w:t>
      </w:r>
      <w:r>
        <w:rPr>
          <w:rFonts w:ascii="宋体" w:hAnsi="宋体" w:eastAsia="宋体"/>
          <w:sz w:val="28"/>
          <w:szCs w:val="28"/>
        </w:rPr>
        <w:t>882人，</w:t>
      </w:r>
      <w:r>
        <w:rPr>
          <w:rFonts w:hint="eastAsia" w:ascii="宋体" w:hAnsi="宋体" w:eastAsia="宋体"/>
          <w:sz w:val="28"/>
          <w:szCs w:val="28"/>
        </w:rPr>
        <w:t>持证人才总数相比“十二五”末增加15</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专业技术人才储备</w:t>
      </w:r>
      <w:r>
        <w:rPr>
          <w:rFonts w:hint="eastAsia" w:ascii="宋体" w:hAnsi="宋体" w:eastAsia="宋体"/>
          <w:sz w:val="28"/>
          <w:szCs w:val="28"/>
        </w:rPr>
        <w:t>日益</w:t>
      </w:r>
      <w:r>
        <w:rPr>
          <w:rFonts w:ascii="宋体" w:hAnsi="宋体" w:eastAsia="宋体"/>
          <w:sz w:val="28"/>
          <w:szCs w:val="28"/>
        </w:rPr>
        <w:t>丰富。</w:t>
      </w:r>
    </w:p>
    <w:p w14:paraId="4B210488">
      <w:pPr>
        <w:pStyle w:val="3"/>
        <w:snapToGrid w:val="0"/>
        <w:spacing w:before="180" w:after="180" w:line="360" w:lineRule="auto"/>
        <w:rPr>
          <w:rFonts w:ascii="宋体" w:hAnsi="宋体" w:eastAsia="宋体"/>
          <w:b/>
          <w:sz w:val="28"/>
          <w:szCs w:val="28"/>
        </w:rPr>
      </w:pPr>
      <w:bookmarkStart w:id="3" w:name="_Toc63321796"/>
      <w:r>
        <w:rPr>
          <w:rFonts w:hint="eastAsia"/>
          <w:b/>
          <w:bCs w:val="0"/>
        </w:rPr>
        <w:t>二、全方位完善、持续改进</w:t>
      </w:r>
      <w:bookmarkEnd w:id="3"/>
    </w:p>
    <w:p w14:paraId="4CB7A5A7">
      <w:pPr>
        <w:pStyle w:val="4"/>
        <w:spacing w:before="120" w:after="120"/>
      </w:pPr>
      <w:bookmarkStart w:id="4" w:name="_Toc63321797"/>
      <w:r>
        <w:t>（</w:t>
      </w:r>
      <w:r>
        <w:rPr>
          <w:rFonts w:hint="eastAsia"/>
        </w:rPr>
        <w:t>一</w:t>
      </w:r>
      <w:r>
        <w:t>）建筑市场</w:t>
      </w:r>
      <w:r>
        <w:rPr>
          <w:rFonts w:hint="eastAsia"/>
        </w:rPr>
        <w:t>生态</w:t>
      </w:r>
      <w:r>
        <w:t>不断优化</w:t>
      </w:r>
      <w:bookmarkEnd w:id="4"/>
    </w:p>
    <w:p w14:paraId="063AB656">
      <w:pPr>
        <w:snapToGrid w:val="0"/>
        <w:spacing w:line="360" w:lineRule="auto"/>
        <w:ind w:firstLine="562" w:firstLineChars="200"/>
        <w:rPr>
          <w:rFonts w:ascii="宋体" w:hAnsi="宋体" w:eastAsia="宋体"/>
          <w:sz w:val="28"/>
          <w:szCs w:val="28"/>
        </w:rPr>
      </w:pPr>
      <w:r>
        <w:rPr>
          <w:rFonts w:hint="eastAsia" w:ascii="宋体" w:hAnsi="宋体" w:eastAsia="宋体"/>
          <w:b/>
          <w:bCs/>
          <w:sz w:val="28"/>
          <w:szCs w:val="28"/>
        </w:rPr>
        <w:t>营商环境优化效果明显。</w:t>
      </w:r>
      <w:r>
        <w:rPr>
          <w:rFonts w:hint="eastAsia" w:ascii="宋体" w:hAnsi="宋体" w:eastAsia="宋体"/>
          <w:sz w:val="28"/>
          <w:szCs w:val="28"/>
        </w:rPr>
        <w:t>“十三五”期间，我市</w:t>
      </w:r>
      <w:r>
        <w:rPr>
          <w:rFonts w:ascii="宋体" w:hAnsi="宋体" w:eastAsia="宋体"/>
          <w:sz w:val="28"/>
          <w:szCs w:val="28"/>
        </w:rPr>
        <w:t>建筑市场</w:t>
      </w:r>
      <w:r>
        <w:rPr>
          <w:rFonts w:hint="eastAsia" w:ascii="宋体" w:hAnsi="宋体" w:eastAsia="宋体"/>
          <w:sz w:val="28"/>
          <w:szCs w:val="28"/>
        </w:rPr>
        <w:t>更加开放，</w:t>
      </w:r>
      <w:r>
        <w:rPr>
          <w:rFonts w:ascii="宋体" w:hAnsi="宋体" w:eastAsia="宋体"/>
          <w:sz w:val="28"/>
          <w:szCs w:val="28"/>
        </w:rPr>
        <w:t>取消了</w:t>
      </w:r>
      <w:r>
        <w:rPr>
          <w:rFonts w:hint="eastAsia" w:ascii="宋体" w:hAnsi="宋体" w:eastAsia="宋体"/>
          <w:sz w:val="28"/>
          <w:szCs w:val="28"/>
        </w:rPr>
        <w:t>外地</w:t>
      </w:r>
      <w:r>
        <w:rPr>
          <w:rFonts w:ascii="宋体" w:hAnsi="宋体" w:eastAsia="宋体"/>
          <w:sz w:val="28"/>
          <w:szCs w:val="28"/>
        </w:rPr>
        <w:t>企业进津备案，</w:t>
      </w:r>
      <w:r>
        <w:rPr>
          <w:rFonts w:hint="eastAsia" w:ascii="宋体" w:hAnsi="宋体" w:eastAsia="宋体"/>
          <w:sz w:val="28"/>
          <w:szCs w:val="28"/>
        </w:rPr>
        <w:t>央企和外地企业持续进入我市建筑市场，外地企业中标率由</w:t>
      </w:r>
      <w:r>
        <w:rPr>
          <w:rFonts w:ascii="宋体" w:hAnsi="宋体" w:eastAsia="宋体"/>
          <w:sz w:val="28"/>
          <w:szCs w:val="28"/>
        </w:rPr>
        <w:t>2016年的18.32%</w:t>
      </w:r>
      <w:r>
        <w:rPr>
          <w:rFonts w:hint="eastAsia" w:ascii="宋体" w:hAnsi="宋体" w:eastAsia="宋体"/>
          <w:sz w:val="28"/>
          <w:szCs w:val="28"/>
        </w:rPr>
        <w:t>提高到</w:t>
      </w:r>
      <w:r>
        <w:rPr>
          <w:rFonts w:ascii="宋体" w:hAnsi="宋体" w:eastAsia="宋体"/>
          <w:sz w:val="28"/>
          <w:szCs w:val="28"/>
        </w:rPr>
        <w:t>2020年的32.53%。扎实推进清理规范工程建设领域保证金工作,全面推进“一制三化”改革，实行告知承诺制、证照分离，建筑业行政审批效率大幅提升</w:t>
      </w:r>
      <w:r>
        <w:rPr>
          <w:rFonts w:hint="eastAsia" w:ascii="宋体" w:hAnsi="宋体" w:eastAsia="宋体"/>
          <w:sz w:val="28"/>
          <w:szCs w:val="28"/>
        </w:rPr>
        <w:t>。</w:t>
      </w:r>
    </w:p>
    <w:p w14:paraId="48C10AE6">
      <w:pPr>
        <w:snapToGrid w:val="0"/>
        <w:spacing w:line="360" w:lineRule="auto"/>
        <w:ind w:firstLine="562" w:firstLineChars="200"/>
        <w:rPr>
          <w:rFonts w:ascii="宋体" w:hAnsi="宋体" w:eastAsia="宋体"/>
          <w:color w:val="FF0000"/>
          <w:sz w:val="28"/>
          <w:szCs w:val="28"/>
        </w:rPr>
      </w:pPr>
      <w:r>
        <w:rPr>
          <w:rFonts w:hint="eastAsia" w:ascii="宋体" w:hAnsi="宋体" w:eastAsia="宋体"/>
          <w:b/>
          <w:bCs/>
          <w:sz w:val="28"/>
          <w:szCs w:val="28"/>
        </w:rPr>
        <w:t>市场监管力度加大。</w:t>
      </w:r>
      <w:r>
        <w:rPr>
          <w:rFonts w:hint="eastAsia" w:ascii="宋体" w:hAnsi="宋体" w:eastAsia="宋体"/>
          <w:sz w:val="28"/>
          <w:szCs w:val="28"/>
        </w:rPr>
        <w:t>强化日常巡查，</w:t>
      </w:r>
      <w:r>
        <w:rPr>
          <w:rFonts w:ascii="宋体" w:hAnsi="宋体" w:eastAsia="宋体"/>
          <w:sz w:val="28"/>
          <w:szCs w:val="28"/>
        </w:rPr>
        <w:t>年均检查项目3000余项次</w:t>
      </w:r>
      <w:r>
        <w:rPr>
          <w:rFonts w:hint="eastAsia" w:ascii="宋体" w:hAnsi="宋体" w:eastAsia="宋体"/>
          <w:sz w:val="28"/>
          <w:szCs w:val="28"/>
        </w:rPr>
        <w:t>；先后开展扫黑除恶专项排查、职业资格“挂证”等专项整治、工程建设行业专项整治等大检查活动，查处建设单位未取得施工许可证开工，施工单位转包、出借资质、违法分包，监理单位出借资质、资料弄虚作假，未按规定配备项目管理人员等违法违规行为，并将典型案例在全市通报，有力维护了建筑市场的良好生态</w:t>
      </w:r>
      <w:r>
        <w:rPr>
          <w:rFonts w:ascii="宋体" w:hAnsi="宋体" w:eastAsia="宋体"/>
          <w:sz w:val="28"/>
          <w:szCs w:val="28"/>
        </w:rPr>
        <w:t>。</w:t>
      </w:r>
    </w:p>
    <w:p w14:paraId="1D8141A1">
      <w:pPr>
        <w:pStyle w:val="4"/>
        <w:spacing w:before="120" w:after="120"/>
      </w:pPr>
      <w:bookmarkStart w:id="5" w:name="_Toc63321798"/>
      <w:r>
        <w:t>（</w:t>
      </w:r>
      <w:r>
        <w:rPr>
          <w:rFonts w:hint="eastAsia"/>
        </w:rPr>
        <w:t>二</w:t>
      </w:r>
      <w:r>
        <w:t>）招投标监管工作成效</w:t>
      </w:r>
      <w:r>
        <w:rPr>
          <w:rFonts w:hint="eastAsia"/>
        </w:rPr>
        <w:t>显著</w:t>
      </w:r>
      <w:bookmarkEnd w:id="5"/>
    </w:p>
    <w:p w14:paraId="02BF886C">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提高招投标便利程度。</w:t>
      </w:r>
      <w:r>
        <w:rPr>
          <w:rFonts w:hint="eastAsia" w:ascii="宋体" w:hAnsi="宋体" w:eastAsia="宋体"/>
          <w:color w:val="000000"/>
          <w:sz w:val="28"/>
          <w:szCs w:val="28"/>
        </w:rPr>
        <w:t>成立天津市公共资源交易中心，整合多个市级公共资源交易机构，统一行使公共资源交易职责。初步实现招标投标电子化，“招标投标电子化行政监督系统”投入使用。改革招投标监管方式，</w:t>
      </w:r>
      <w:r>
        <w:rPr>
          <w:rFonts w:ascii="宋体" w:hAnsi="宋体" w:eastAsia="宋体"/>
          <w:color w:val="000000"/>
          <w:sz w:val="28"/>
          <w:szCs w:val="28"/>
        </w:rPr>
        <w:t>简化招标前置</w:t>
      </w:r>
      <w:r>
        <w:rPr>
          <w:rFonts w:hint="eastAsia" w:ascii="宋体" w:hAnsi="宋体" w:eastAsia="宋体"/>
          <w:color w:val="000000"/>
          <w:sz w:val="28"/>
          <w:szCs w:val="28"/>
        </w:rPr>
        <w:t>审核</w:t>
      </w:r>
      <w:r>
        <w:rPr>
          <w:rFonts w:ascii="宋体" w:hAnsi="宋体" w:eastAsia="宋体"/>
          <w:color w:val="000000"/>
          <w:sz w:val="28"/>
          <w:szCs w:val="28"/>
        </w:rPr>
        <w:t>，优化招投标流程，取消招标代理机构资格认定，</w:t>
      </w:r>
      <w:r>
        <w:rPr>
          <w:rFonts w:hint="eastAsia" w:ascii="宋体" w:hAnsi="宋体" w:eastAsia="宋体"/>
          <w:color w:val="000000"/>
          <w:sz w:val="28"/>
          <w:szCs w:val="28"/>
        </w:rPr>
        <w:t>取消合同备案制度；</w:t>
      </w:r>
    </w:p>
    <w:p w14:paraId="08E13CED">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sz w:val="28"/>
          <w:szCs w:val="28"/>
        </w:rPr>
        <w:t>保持招投标监管高压态势。</w:t>
      </w:r>
      <w:r>
        <w:rPr>
          <w:rFonts w:ascii="宋体" w:hAnsi="宋体" w:eastAsia="宋体"/>
          <w:color w:val="000000"/>
          <w:sz w:val="28"/>
          <w:szCs w:val="28"/>
        </w:rPr>
        <w:t>颁布《市建委关于简化优化招标投标流程加强事中事后监管有关工作的通知》,定期针对招标人、投标人、评标专家三类主体的35类违法行为开展随机抽查，深挖问题线索，严厉处罚招投标违法违规行为。</w:t>
      </w:r>
      <w:r>
        <w:rPr>
          <w:rFonts w:hint="eastAsia" w:ascii="宋体" w:hAnsi="宋体" w:eastAsia="宋体"/>
          <w:color w:val="000000"/>
          <w:sz w:val="28"/>
          <w:szCs w:val="28"/>
        </w:rPr>
        <w:t>畅通投诉举报渠道，建立投诉举报接收、转办、反馈工作机制，对涉及整治内容的，认真进行核查，做到事事有回音、件件有着落。</w:t>
      </w:r>
    </w:p>
    <w:p w14:paraId="43EB1196">
      <w:pPr>
        <w:pStyle w:val="4"/>
      </w:pPr>
      <w:bookmarkStart w:id="6" w:name="_Toc63321799"/>
      <w:r>
        <w:t>（</w:t>
      </w:r>
      <w:r>
        <w:rPr>
          <w:rFonts w:hint="eastAsia"/>
        </w:rPr>
        <w:t>三</w:t>
      </w:r>
      <w:r>
        <w:t>）建筑市场信用体系进一步完善</w:t>
      </w:r>
      <w:bookmarkEnd w:id="6"/>
    </w:p>
    <w:p w14:paraId="458C5821">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完善建筑业信用管理法规体系。</w:t>
      </w:r>
      <w:r>
        <w:rPr>
          <w:rFonts w:hint="eastAsia" w:ascii="宋体" w:hAnsi="宋体" w:eastAsia="宋体"/>
          <w:color w:val="000000"/>
          <w:sz w:val="28"/>
          <w:szCs w:val="28"/>
        </w:rPr>
        <w:t>颁布</w:t>
      </w:r>
      <w:r>
        <w:rPr>
          <w:rFonts w:ascii="宋体" w:hAnsi="宋体" w:eastAsia="宋体"/>
          <w:color w:val="000000"/>
          <w:sz w:val="28"/>
          <w:szCs w:val="28"/>
        </w:rPr>
        <w:t>《天津市建筑施工企业信用评价指标体系和评分标准》、《天津市建设工程监理企业信用评价办法》</w:t>
      </w:r>
      <w:r>
        <w:rPr>
          <w:rFonts w:hint="eastAsia" w:ascii="宋体" w:hAnsi="宋体" w:eastAsia="宋体"/>
          <w:color w:val="000000"/>
          <w:sz w:val="28"/>
          <w:szCs w:val="28"/>
        </w:rPr>
        <w:t>、</w:t>
      </w:r>
      <w:r>
        <w:rPr>
          <w:rFonts w:ascii="宋体" w:hAnsi="宋体" w:eastAsia="宋体"/>
          <w:color w:val="000000"/>
          <w:sz w:val="28"/>
          <w:szCs w:val="28"/>
        </w:rPr>
        <w:t>《天津市工程建设项目招标代理机构信用评价办法》</w:t>
      </w:r>
      <w:r>
        <w:rPr>
          <w:rFonts w:hint="eastAsia" w:ascii="宋体" w:hAnsi="宋体" w:eastAsia="宋体"/>
          <w:color w:val="000000"/>
          <w:sz w:val="28"/>
          <w:szCs w:val="28"/>
        </w:rPr>
        <w:t>，颁布《天津市房屋建筑和市政基础设施工程施工企业信用评价实施办法》。</w:t>
      </w:r>
    </w:p>
    <w:p w14:paraId="341DD6A3">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做好信息归集与信用评价。</w:t>
      </w:r>
      <w:r>
        <w:rPr>
          <w:rFonts w:hint="eastAsia" w:ascii="宋体" w:hAnsi="宋体" w:eastAsia="宋体"/>
          <w:color w:val="000000"/>
          <w:sz w:val="28"/>
          <w:szCs w:val="28"/>
        </w:rPr>
        <w:t>持续加大信用信息归集力度，归集各类信用信息10万余条。积极组织信用评价及等级评定工作，每年评定施工总承包企业3000余家、监理企业400余家、招标代理机构200余家，并</w:t>
      </w:r>
      <w:r>
        <w:rPr>
          <w:rFonts w:ascii="宋体" w:hAnsi="宋体" w:eastAsia="宋体"/>
          <w:color w:val="000000"/>
          <w:sz w:val="28"/>
          <w:szCs w:val="28"/>
        </w:rPr>
        <w:t>不断修订完善评价办法，逐步</w:t>
      </w:r>
      <w:r>
        <w:rPr>
          <w:rFonts w:hint="eastAsia" w:ascii="宋体" w:hAnsi="宋体" w:eastAsia="宋体"/>
          <w:color w:val="000000"/>
          <w:sz w:val="28"/>
          <w:szCs w:val="28"/>
        </w:rPr>
        <w:t>实现施工企业等级评价转变为动态分数评价，于2020年上线天津市建筑市场信用管理平台，实现施工企业信用评价结果实时更新。</w:t>
      </w:r>
    </w:p>
    <w:p w14:paraId="77BFED39">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sz w:val="28"/>
          <w:szCs w:val="28"/>
        </w:rPr>
        <w:t>初步实现信用信息及信用评价结果的应用。</w:t>
      </w:r>
      <w:r>
        <w:rPr>
          <w:rFonts w:hint="eastAsia" w:ascii="宋体" w:hAnsi="宋体" w:eastAsia="宋体"/>
          <w:sz w:val="28"/>
          <w:szCs w:val="28"/>
        </w:rPr>
        <w:t>在施工企业招标文件中设立资信标内容，企业信用信息及信用等级评定结果直接应用于招投标；</w:t>
      </w:r>
      <w:r>
        <w:rPr>
          <w:rFonts w:hint="eastAsia" w:ascii="宋体" w:hAnsi="宋体" w:eastAsia="宋体"/>
          <w:color w:val="000000"/>
          <w:sz w:val="28"/>
          <w:szCs w:val="28"/>
        </w:rPr>
        <w:t>加大信用奖惩力度，</w:t>
      </w:r>
      <w:r>
        <w:rPr>
          <w:rFonts w:ascii="宋体" w:hAnsi="宋体" w:eastAsia="宋体"/>
          <w:color w:val="000000"/>
          <w:sz w:val="28"/>
          <w:szCs w:val="28"/>
        </w:rPr>
        <w:t>印发《天津市建筑市场主体信用奖惩办法》，</w:t>
      </w:r>
      <w:r>
        <w:rPr>
          <w:rFonts w:hint="eastAsia" w:ascii="宋体" w:hAnsi="宋体" w:eastAsia="宋体"/>
          <w:color w:val="000000"/>
          <w:sz w:val="28"/>
          <w:szCs w:val="28"/>
        </w:rPr>
        <w:t>建立 “黑名单”制度，形成建筑市场与施工现场的“两场联动”管理，</w:t>
      </w:r>
      <w:r>
        <w:rPr>
          <w:rFonts w:ascii="宋体" w:hAnsi="宋体" w:eastAsia="宋体"/>
          <w:color w:val="000000"/>
          <w:sz w:val="28"/>
          <w:szCs w:val="28"/>
        </w:rPr>
        <w:t>不断强化奖优罚劣的信用奖惩机制，对失信主体的威慑进一步增强，企业对自身信用状况重视程度不断提高。</w:t>
      </w:r>
    </w:p>
    <w:p w14:paraId="18FCA4E3">
      <w:pPr>
        <w:pStyle w:val="4"/>
      </w:pPr>
      <w:bookmarkStart w:id="7" w:name="_Toc63321800"/>
      <w:r>
        <w:t>（</w:t>
      </w:r>
      <w:r>
        <w:rPr>
          <w:rFonts w:hint="eastAsia"/>
        </w:rPr>
        <w:t>四</w:t>
      </w:r>
      <w:r>
        <w:t>）工程总承包模式</w:t>
      </w:r>
      <w:r>
        <w:rPr>
          <w:rFonts w:hint="eastAsia"/>
        </w:rPr>
        <w:t>持续推进</w:t>
      </w:r>
      <w:bookmarkEnd w:id="7"/>
    </w:p>
    <w:p w14:paraId="2F4E51A3">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推进总承包试点。</w:t>
      </w:r>
      <w:r>
        <w:rPr>
          <w:rFonts w:ascii="宋体" w:hAnsi="宋体" w:eastAsia="宋体"/>
          <w:color w:val="000000"/>
          <w:sz w:val="28"/>
          <w:szCs w:val="28"/>
        </w:rPr>
        <w:t>“十三五”期间，发布了《天津市建委关于天津市建设项目推行工程总承包试点工作有关事项的通知》（津建筑〔2017〕477号）等指导意见，</w:t>
      </w:r>
      <w:r>
        <w:rPr>
          <w:rFonts w:hint="eastAsia" w:ascii="宋体" w:hAnsi="宋体" w:eastAsia="宋体"/>
          <w:color w:val="000000"/>
          <w:sz w:val="28"/>
          <w:szCs w:val="28"/>
        </w:rPr>
        <w:t>在政策支持下，</w:t>
      </w:r>
      <w:r>
        <w:rPr>
          <w:rFonts w:ascii="宋体" w:hAnsi="宋体" w:eastAsia="宋体"/>
          <w:color w:val="000000"/>
          <w:sz w:val="28"/>
          <w:szCs w:val="28"/>
        </w:rPr>
        <w:t>我市加快推进房屋建筑和市政基础设施项目工程总承包，研究制定监管办法，实施有效的监管手段，跟踪试点项目进展情况，加强培育指导，加速行业转型，</w:t>
      </w:r>
      <w:r>
        <w:rPr>
          <w:rFonts w:hint="eastAsia" w:ascii="宋体" w:hAnsi="宋体" w:eastAsia="宋体"/>
          <w:color w:val="000000"/>
          <w:sz w:val="28"/>
          <w:szCs w:val="28"/>
        </w:rPr>
        <w:t>促进</w:t>
      </w:r>
      <w:r>
        <w:rPr>
          <w:rFonts w:ascii="宋体" w:hAnsi="宋体" w:eastAsia="宋体"/>
          <w:color w:val="000000"/>
          <w:sz w:val="28"/>
          <w:szCs w:val="28"/>
        </w:rPr>
        <w:t>工程组织实施方式变革向纵深发展。</w:t>
      </w:r>
    </w:p>
    <w:p w14:paraId="6A9EA464">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总承包成效初显。</w:t>
      </w:r>
      <w:r>
        <w:rPr>
          <w:rFonts w:hint="eastAsia" w:ascii="宋体" w:hAnsi="宋体" w:eastAsia="宋体"/>
          <w:color w:val="000000"/>
          <w:sz w:val="28"/>
          <w:szCs w:val="28"/>
        </w:rPr>
        <w:t>截至2020年底，共有134个项目采取了E</w:t>
      </w:r>
      <w:r>
        <w:rPr>
          <w:rFonts w:ascii="宋体" w:hAnsi="宋体" w:eastAsia="宋体"/>
          <w:color w:val="000000"/>
          <w:sz w:val="28"/>
          <w:szCs w:val="28"/>
        </w:rPr>
        <w:t>PC</w:t>
      </w:r>
      <w:r>
        <w:rPr>
          <w:rFonts w:hint="eastAsia" w:ascii="宋体" w:hAnsi="宋体" w:eastAsia="宋体"/>
          <w:color w:val="000000"/>
          <w:sz w:val="28"/>
          <w:szCs w:val="28"/>
        </w:rPr>
        <w:t>模式。根据市住建委对E</w:t>
      </w:r>
      <w:r>
        <w:rPr>
          <w:rFonts w:ascii="宋体" w:hAnsi="宋体" w:eastAsia="宋体"/>
          <w:color w:val="000000"/>
          <w:sz w:val="28"/>
          <w:szCs w:val="28"/>
        </w:rPr>
        <w:t>PC</w:t>
      </w:r>
      <w:r>
        <w:rPr>
          <w:rFonts w:hint="eastAsia" w:ascii="宋体" w:hAnsi="宋体" w:eastAsia="宋体"/>
          <w:color w:val="000000"/>
          <w:sz w:val="28"/>
          <w:szCs w:val="28"/>
        </w:rPr>
        <w:t>试点项目的调研，调研对象普遍认为采用EPC工程总承包模式后，项目的管理成效得到了大幅度提升，EPC模式得到建设单位和施工单位的认可。</w:t>
      </w:r>
    </w:p>
    <w:p w14:paraId="631589C9">
      <w:pPr>
        <w:pStyle w:val="4"/>
        <w:spacing w:line="372" w:lineRule="auto"/>
      </w:pPr>
      <w:bookmarkStart w:id="8" w:name="_Toc63321801"/>
      <w:r>
        <w:t>（</w:t>
      </w:r>
      <w:r>
        <w:rPr>
          <w:rFonts w:hint="eastAsia"/>
        </w:rPr>
        <w:t>五</w:t>
      </w:r>
      <w:r>
        <w:t>）工程造价管理进一步加强</w:t>
      </w:r>
      <w:bookmarkEnd w:id="8"/>
    </w:p>
    <w:p w14:paraId="541C4E79">
      <w:pPr>
        <w:pStyle w:val="28"/>
        <w:ind w:firstLine="562" w:firstLineChars="200"/>
        <w:rPr>
          <w:rFonts w:ascii="宋体" w:hAnsi="宋体" w:eastAsia="宋体"/>
          <w:color w:val="000000"/>
          <w:sz w:val="28"/>
          <w:szCs w:val="28"/>
        </w:rPr>
      </w:pPr>
      <w:r>
        <w:rPr>
          <w:rFonts w:hint="eastAsia" w:ascii="宋体" w:hAnsi="宋体" w:eastAsia="宋体"/>
          <w:b/>
          <w:bCs/>
          <w:color w:val="000000"/>
          <w:sz w:val="28"/>
          <w:szCs w:val="28"/>
        </w:rPr>
        <w:t>充分发挥计价依据引导和约束作用</w:t>
      </w:r>
      <w:r>
        <w:rPr>
          <w:rFonts w:hint="eastAsia" w:ascii="宋体" w:hAnsi="宋体" w:eastAsia="宋体"/>
          <w:color w:val="000000"/>
          <w:sz w:val="28"/>
          <w:szCs w:val="28"/>
        </w:rPr>
        <w:t>。编制完成2016、2020工程计价依据，完成《天津市建设工程计价规则研究》课题，形成以计价办法为核心，预算基价为基础，计价指引为辅助的“三位一体”工程计价动态管理模式。</w:t>
      </w:r>
    </w:p>
    <w:p w14:paraId="5CFB6427">
      <w:pPr>
        <w:pStyle w:val="28"/>
        <w:ind w:firstLine="562" w:firstLineChars="200"/>
        <w:rPr>
          <w:rFonts w:ascii="宋体" w:hAnsi="宋体" w:eastAsia="宋体"/>
          <w:color w:val="000000"/>
          <w:sz w:val="28"/>
          <w:szCs w:val="28"/>
        </w:rPr>
      </w:pPr>
      <w:r>
        <w:rPr>
          <w:rFonts w:hint="eastAsia" w:ascii="宋体" w:hAnsi="宋体" w:eastAsia="宋体"/>
          <w:b/>
          <w:bCs/>
          <w:color w:val="000000"/>
          <w:sz w:val="28"/>
          <w:szCs w:val="28"/>
        </w:rPr>
        <w:t>京津冀计价体系一体化工作取得实质性进展。</w:t>
      </w:r>
      <w:r>
        <w:rPr>
          <w:rFonts w:hint="eastAsia" w:ascii="宋体" w:hAnsi="宋体" w:eastAsia="宋体"/>
          <w:color w:val="000000"/>
          <w:sz w:val="28"/>
          <w:szCs w:val="28"/>
        </w:rPr>
        <w:t>积极落实《推进京津冀工程计价体系一体化实施方案》，编制完成《京津冀城市综合管廊消耗量定额》，初步实现三地管廊定额消耗量、说明解释、管理使用的共建共享；运用互联网技术和信息化手段，上线运行“京津冀工程造价信息共享·天津”服务平台，实现了京津冀工程造价信息同版面同载体同步发布。</w:t>
      </w:r>
    </w:p>
    <w:p w14:paraId="333E1119">
      <w:pPr>
        <w:pStyle w:val="28"/>
        <w:ind w:firstLine="562" w:firstLineChars="200"/>
        <w:rPr>
          <w:rFonts w:ascii="宋体" w:hAnsi="宋体" w:eastAsia="宋体"/>
          <w:color w:val="000000"/>
          <w:sz w:val="28"/>
          <w:szCs w:val="28"/>
        </w:rPr>
      </w:pPr>
      <w:r>
        <w:rPr>
          <w:rFonts w:hint="eastAsia" w:ascii="宋体" w:hAnsi="宋体" w:eastAsia="宋体"/>
          <w:b/>
          <w:bCs/>
          <w:color w:val="000000"/>
          <w:sz w:val="28"/>
          <w:szCs w:val="28"/>
        </w:rPr>
        <w:t>提升工程造价服务质量。</w:t>
      </w:r>
      <w:r>
        <w:rPr>
          <w:rFonts w:hint="eastAsia" w:ascii="宋体" w:hAnsi="宋体" w:eastAsia="宋体"/>
          <w:color w:val="000000"/>
          <w:sz w:val="28"/>
          <w:szCs w:val="28"/>
        </w:rPr>
        <w:t>积极探索工程造价管理数字化改革方向，对计价依据编制有关数据资料系统分析并归纳总结，编制完成《数据造价》；定期发布天津市建设工程人工、材料、施工机械台班价格及工程造价、计价指数，不断强化信息发布的精准度及时效性，为建设市场各方主体提供全方位工程造价服务。</w:t>
      </w:r>
    </w:p>
    <w:p w14:paraId="75C71C01">
      <w:pPr>
        <w:pStyle w:val="4"/>
        <w:spacing w:line="372" w:lineRule="auto"/>
      </w:pPr>
      <w:bookmarkStart w:id="9" w:name="_Toc63321802"/>
      <w:r>
        <w:t>（</w:t>
      </w:r>
      <w:r>
        <w:rPr>
          <w:rFonts w:hint="eastAsia"/>
        </w:rPr>
        <w:t>六</w:t>
      </w:r>
      <w:r>
        <w:t>）质量安全水平稳步提升</w:t>
      </w:r>
      <w:bookmarkEnd w:id="9"/>
    </w:p>
    <w:p w14:paraId="728A4E84">
      <w:pPr>
        <w:snapToGrid w:val="0"/>
        <w:spacing w:line="372"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安全生产形势总体平稳。</w:t>
      </w:r>
      <w:r>
        <w:rPr>
          <w:rFonts w:hint="eastAsia" w:ascii="宋体" w:hAnsi="宋体" w:eastAsia="宋体"/>
          <w:color w:val="000000"/>
          <w:sz w:val="28"/>
          <w:szCs w:val="28"/>
        </w:rPr>
        <w:t>“十三五”期间，全市新建工程平均每年发生建筑安全事故14.4起，死亡人数平均为15.6人，低于全国平均水平，未发生重大及以上安全生产事故。工程建筑质量显著提升，截至2020年底，27项工程获“鲁班奖”，42项工程获“国优工程奖”，802项工程获得 “海河杯”市级优质工程奖。</w:t>
      </w:r>
    </w:p>
    <w:p w14:paraId="3EF31D68">
      <w:pPr>
        <w:snapToGrid w:val="0"/>
        <w:spacing w:line="56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完</w:t>
      </w:r>
      <w:r>
        <w:rPr>
          <w:rFonts w:ascii="宋体" w:hAnsi="宋体" w:eastAsia="宋体"/>
          <w:b/>
          <w:bCs/>
          <w:color w:val="000000"/>
          <w:sz w:val="28"/>
          <w:szCs w:val="28"/>
        </w:rPr>
        <w:t>善</w:t>
      </w:r>
      <w:r>
        <w:rPr>
          <w:rFonts w:hint="eastAsia" w:ascii="宋体" w:hAnsi="宋体" w:eastAsia="宋体"/>
          <w:b/>
          <w:bCs/>
          <w:color w:val="000000"/>
          <w:sz w:val="28"/>
          <w:szCs w:val="28"/>
        </w:rPr>
        <w:t>质量安全制度</w:t>
      </w:r>
      <w:r>
        <w:rPr>
          <w:rFonts w:ascii="宋体" w:hAnsi="宋体" w:eastAsia="宋体"/>
          <w:b/>
          <w:bCs/>
          <w:color w:val="000000"/>
          <w:sz w:val="28"/>
          <w:szCs w:val="28"/>
        </w:rPr>
        <w:t>框架和管理办法</w:t>
      </w:r>
      <w:r>
        <w:rPr>
          <w:rFonts w:hint="eastAsia" w:ascii="宋体" w:hAnsi="宋体" w:eastAsia="宋体"/>
          <w:color w:val="000000"/>
          <w:sz w:val="28"/>
          <w:szCs w:val="28"/>
        </w:rPr>
        <w:t>。</w:t>
      </w:r>
      <w:r>
        <w:rPr>
          <w:rFonts w:ascii="宋体" w:hAnsi="宋体" w:eastAsia="宋体"/>
          <w:color w:val="000000"/>
          <w:sz w:val="28"/>
          <w:szCs w:val="28"/>
        </w:rPr>
        <w:t>加强法规制度建设，出台了一系列质量安全管理文件，加强危大工程、建筑材料、起重机械等重点环节管控，制定</w:t>
      </w:r>
      <w:r>
        <w:rPr>
          <w:rFonts w:hint="eastAsia" w:ascii="宋体" w:hAnsi="宋体" w:eastAsia="宋体"/>
          <w:color w:val="000000"/>
          <w:sz w:val="28"/>
          <w:szCs w:val="28"/>
        </w:rPr>
        <w:t>危大工程专家论证制度、重要建材信息公示制度</w:t>
      </w:r>
      <w:r>
        <w:rPr>
          <w:rFonts w:ascii="宋体" w:hAnsi="宋体" w:eastAsia="宋体"/>
          <w:color w:val="000000"/>
          <w:sz w:val="28"/>
          <w:szCs w:val="28"/>
        </w:rPr>
        <w:t>和起重机械全过程信息管理制度。结合重大事件、特殊时段开展质量安全各类专项整治活动，持续营造质量安全监督管理高压态势。</w:t>
      </w:r>
    </w:p>
    <w:p w14:paraId="0FBBF793">
      <w:pPr>
        <w:pStyle w:val="4"/>
        <w:spacing w:line="560" w:lineRule="exact"/>
      </w:pPr>
      <w:bookmarkStart w:id="10" w:name="_Toc63321803"/>
      <w:r>
        <w:t>（</w:t>
      </w:r>
      <w:r>
        <w:rPr>
          <w:rFonts w:hint="eastAsia"/>
        </w:rPr>
        <w:t>七</w:t>
      </w:r>
      <w:r>
        <w:t>）文明</w:t>
      </w:r>
      <w:r>
        <w:rPr>
          <w:rFonts w:hint="eastAsia"/>
        </w:rPr>
        <w:t>绿色施工水平持续提高</w:t>
      </w:r>
      <w:bookmarkEnd w:id="10"/>
    </w:p>
    <w:p w14:paraId="08BF5A40">
      <w:pPr>
        <w:spacing w:line="560" w:lineRule="exact"/>
        <w:ind w:firstLine="640"/>
        <w:rPr>
          <w:rFonts w:ascii="宋体" w:hAnsi="宋体" w:eastAsia="宋体"/>
          <w:color w:val="000000"/>
          <w:kern w:val="24"/>
          <w:sz w:val="28"/>
          <w:szCs w:val="28"/>
        </w:rPr>
      </w:pPr>
      <w:r>
        <w:rPr>
          <w:rFonts w:hint="eastAsia" w:ascii="宋体" w:hAnsi="宋体" w:eastAsia="宋体"/>
          <w:b/>
          <w:bCs/>
          <w:color w:val="000000"/>
          <w:kern w:val="24"/>
          <w:sz w:val="28"/>
          <w:szCs w:val="28"/>
        </w:rPr>
        <w:t>以评价促进文明绿色施工。</w:t>
      </w:r>
      <w:r>
        <w:rPr>
          <w:rFonts w:ascii="宋体" w:hAnsi="宋体" w:eastAsia="宋体"/>
          <w:color w:val="000000"/>
          <w:kern w:val="24"/>
          <w:sz w:val="28"/>
          <w:szCs w:val="28"/>
        </w:rPr>
        <w:t>全力推动我市建筑施工文明工地</w:t>
      </w:r>
      <w:r>
        <w:rPr>
          <w:rFonts w:hint="eastAsia" w:ascii="宋体" w:hAnsi="宋体" w:eastAsia="宋体"/>
          <w:color w:val="000000"/>
          <w:kern w:val="24"/>
          <w:sz w:val="28"/>
          <w:szCs w:val="28"/>
        </w:rPr>
        <w:t>评价</w:t>
      </w:r>
      <w:r>
        <w:rPr>
          <w:rFonts w:ascii="宋体" w:hAnsi="宋体" w:eastAsia="宋体"/>
          <w:color w:val="000000"/>
          <w:kern w:val="24"/>
          <w:sz w:val="28"/>
          <w:szCs w:val="28"/>
        </w:rPr>
        <w:t>工作</w:t>
      </w:r>
      <w:r>
        <w:rPr>
          <w:rFonts w:hint="eastAsia" w:ascii="宋体" w:hAnsi="宋体" w:eastAsia="宋体"/>
          <w:color w:val="000000"/>
          <w:kern w:val="24"/>
          <w:sz w:val="28"/>
          <w:szCs w:val="28"/>
        </w:rPr>
        <w:t>，</w:t>
      </w:r>
      <w:r>
        <w:rPr>
          <w:rFonts w:ascii="宋体" w:hAnsi="宋体" w:eastAsia="宋体"/>
          <w:color w:val="000000"/>
          <w:kern w:val="24"/>
          <w:sz w:val="28"/>
          <w:szCs w:val="28"/>
        </w:rPr>
        <w:t>坚持以施工文明工地创建为载体，着力推动建筑施工现场标准化管理，促进建筑工程质量创优、安全达标，确保建筑施工安全生产。坚持以企业需求为导向，坚持全过程培育、指导和创评工作相结合，以创优评先提升了建设工程安全质量和文明施工管理水平。</w:t>
      </w:r>
    </w:p>
    <w:p w14:paraId="08667A58">
      <w:pPr>
        <w:spacing w:line="560" w:lineRule="exact"/>
        <w:ind w:firstLine="640"/>
        <w:rPr>
          <w:rFonts w:ascii="宋体" w:hAnsi="宋体" w:eastAsia="宋体"/>
          <w:kern w:val="24"/>
          <w:sz w:val="28"/>
          <w:szCs w:val="28"/>
        </w:rPr>
      </w:pPr>
      <w:r>
        <w:rPr>
          <w:rFonts w:hint="eastAsia" w:ascii="宋体" w:hAnsi="宋体" w:eastAsia="宋体"/>
          <w:b/>
          <w:bCs/>
          <w:color w:val="000000"/>
          <w:kern w:val="24"/>
          <w:sz w:val="28"/>
          <w:szCs w:val="28"/>
        </w:rPr>
        <w:t>文明绿色施工水平提升显著。</w:t>
      </w:r>
      <w:r>
        <w:rPr>
          <w:rFonts w:ascii="宋体" w:hAnsi="宋体" w:eastAsia="宋体"/>
          <w:color w:val="000000"/>
          <w:kern w:val="24"/>
          <w:sz w:val="28"/>
          <w:szCs w:val="28"/>
        </w:rPr>
        <w:t>“十三五”期间，</w:t>
      </w:r>
      <w:r>
        <w:rPr>
          <w:rFonts w:hint="eastAsia" w:ascii="宋体" w:hAnsi="宋体" w:eastAsia="宋体"/>
          <w:color w:val="000000"/>
          <w:kern w:val="24"/>
          <w:sz w:val="28"/>
          <w:szCs w:val="28"/>
        </w:rPr>
        <w:t>创建</w:t>
      </w:r>
      <w:r>
        <w:rPr>
          <w:rFonts w:ascii="宋体" w:hAnsi="宋体" w:eastAsia="宋体"/>
          <w:color w:val="000000"/>
          <w:kern w:val="24"/>
          <w:sz w:val="28"/>
          <w:szCs w:val="28"/>
        </w:rPr>
        <w:t>天津市文明施工示范工地和市级文明工地</w:t>
      </w:r>
      <w:r>
        <w:rPr>
          <w:rFonts w:hint="eastAsia" w:ascii="宋体" w:hAnsi="宋体" w:eastAsia="宋体"/>
          <w:color w:val="000000"/>
          <w:kern w:val="24"/>
          <w:sz w:val="28"/>
          <w:szCs w:val="28"/>
        </w:rPr>
        <w:t>1000余个</w:t>
      </w:r>
      <w:r>
        <w:rPr>
          <w:rFonts w:ascii="宋体" w:hAnsi="宋体" w:eastAsia="宋体"/>
          <w:color w:val="000000"/>
          <w:kern w:val="24"/>
          <w:sz w:val="28"/>
          <w:szCs w:val="28"/>
        </w:rPr>
        <w:t>。</w:t>
      </w:r>
      <w:r>
        <w:rPr>
          <w:rFonts w:hint="eastAsia" w:ascii="宋体" w:hAnsi="宋体" w:eastAsia="宋体"/>
          <w:kern w:val="24"/>
          <w:sz w:val="28"/>
          <w:szCs w:val="28"/>
        </w:rPr>
        <w:t>组织策划“开展绿色施工项目交流观摩活动”，编制了《天津市绿色施工示范观摩项目创建实施细则》。组织推荐</w:t>
      </w:r>
      <w:r>
        <w:rPr>
          <w:rFonts w:ascii="宋体" w:hAnsi="宋体" w:eastAsia="宋体"/>
          <w:kern w:val="24"/>
          <w:sz w:val="28"/>
          <w:szCs w:val="28"/>
        </w:rPr>
        <w:t>26</w:t>
      </w:r>
      <w:r>
        <w:rPr>
          <w:rFonts w:hint="eastAsia" w:ascii="宋体" w:hAnsi="宋体" w:eastAsia="宋体"/>
          <w:kern w:val="24"/>
          <w:sz w:val="28"/>
          <w:szCs w:val="28"/>
        </w:rPr>
        <w:t>个项目参与中施企协“工程建设绿色建造施工水平评价”活动，取得较好成绩。</w:t>
      </w:r>
    </w:p>
    <w:p w14:paraId="5E703B83">
      <w:pPr>
        <w:pStyle w:val="4"/>
        <w:spacing w:line="560" w:lineRule="exact"/>
      </w:pPr>
      <w:bookmarkStart w:id="11" w:name="_Toc63321804"/>
      <w:r>
        <w:t>（</w:t>
      </w:r>
      <w:r>
        <w:rPr>
          <w:rFonts w:hint="eastAsia"/>
        </w:rPr>
        <w:t>八</w:t>
      </w:r>
      <w:r>
        <w:t>）劳务用工管理日趋规范</w:t>
      </w:r>
      <w:bookmarkEnd w:id="11"/>
    </w:p>
    <w:p w14:paraId="12A7FD9D">
      <w:pPr>
        <w:snapToGrid w:val="0"/>
        <w:spacing w:line="560" w:lineRule="exact"/>
        <w:ind w:firstLine="562" w:firstLineChars="200"/>
        <w:rPr>
          <w:rFonts w:asciiTheme="minorEastAsia" w:hAnsiTheme="minorEastAsia"/>
          <w:color w:val="000000"/>
          <w:kern w:val="24"/>
          <w:sz w:val="28"/>
          <w:szCs w:val="28"/>
        </w:rPr>
      </w:pPr>
      <w:r>
        <w:rPr>
          <w:rFonts w:hint="eastAsia" w:ascii="宋体" w:hAnsi="宋体" w:eastAsia="宋体"/>
          <w:b/>
          <w:bCs/>
          <w:color w:val="000000"/>
          <w:kern w:val="24"/>
          <w:sz w:val="28"/>
          <w:szCs w:val="28"/>
        </w:rPr>
        <w:t>做好实名制管理。</w:t>
      </w:r>
      <w:r>
        <w:rPr>
          <w:rFonts w:hint="eastAsia" w:ascii="宋体" w:hAnsi="宋体" w:eastAsia="宋体"/>
          <w:color w:val="000000"/>
          <w:kern w:val="24"/>
          <w:sz w:val="28"/>
          <w:szCs w:val="28"/>
        </w:rPr>
        <w:t>2019年5月30日正式上线“天津市建筑工人管理服务信息平台”，初步实现全市各级建筑工人实名制管理平台互联共享。</w:t>
      </w:r>
      <w:r>
        <w:rPr>
          <w:rFonts w:ascii="宋体" w:hAnsi="宋体" w:eastAsia="宋体"/>
          <w:color w:val="000000"/>
          <w:kern w:val="24"/>
          <w:sz w:val="28"/>
          <w:szCs w:val="28"/>
        </w:rPr>
        <w:t>下发《关于进一步加强房屋建筑和市政基础设施项目建筑业劳务用工管理工作的通知》</w:t>
      </w:r>
      <w:r>
        <w:rPr>
          <w:rFonts w:ascii="黑体" w:hAnsi="黑体" w:eastAsia="黑体"/>
          <w:color w:val="000000"/>
          <w:kern w:val="24"/>
          <w:sz w:val="28"/>
          <w:szCs w:val="28"/>
        </w:rPr>
        <w:t>(</w:t>
      </w:r>
      <w:r>
        <w:rPr>
          <w:rFonts w:ascii="宋体" w:hAnsi="宋体" w:eastAsia="宋体"/>
          <w:color w:val="000000"/>
          <w:kern w:val="24"/>
          <w:sz w:val="28"/>
          <w:szCs w:val="28"/>
        </w:rPr>
        <w:t>津建筑便函</w:t>
      </w:r>
      <w:r>
        <w:rPr>
          <w:rFonts w:asciiTheme="minorEastAsia" w:hAnsiTheme="minorEastAsia"/>
          <w:color w:val="000000"/>
          <w:kern w:val="24"/>
          <w:sz w:val="28"/>
          <w:szCs w:val="28"/>
        </w:rPr>
        <w:t>〔2018〕75号)，进一步明确实名制管理、分账管理、保证金、按时足额支付等劳务用工管理制度有关要求，促进全市劳务用工管理的规范化和制度化。</w:t>
      </w:r>
    </w:p>
    <w:p w14:paraId="51B92E86">
      <w:pPr>
        <w:snapToGrid w:val="0"/>
        <w:spacing w:line="600" w:lineRule="exact"/>
        <w:ind w:firstLine="562" w:firstLineChars="200"/>
        <w:rPr>
          <w:rFonts w:ascii="宋体" w:hAnsi="宋体" w:eastAsia="宋体"/>
          <w:color w:val="000000"/>
          <w:kern w:val="24"/>
          <w:sz w:val="28"/>
          <w:szCs w:val="28"/>
        </w:rPr>
      </w:pPr>
      <w:r>
        <w:rPr>
          <w:rFonts w:hint="eastAsia" w:asciiTheme="minorEastAsia" w:hAnsiTheme="minorEastAsia"/>
          <w:b/>
          <w:bCs/>
          <w:color w:val="000000"/>
          <w:kern w:val="24"/>
          <w:sz w:val="28"/>
          <w:szCs w:val="28"/>
        </w:rPr>
        <w:t>做好建筑工人服务。</w:t>
      </w:r>
      <w:r>
        <w:rPr>
          <w:rFonts w:asciiTheme="minorEastAsia" w:hAnsiTheme="minorEastAsia"/>
          <w:color w:val="000000"/>
          <w:kern w:val="24"/>
          <w:sz w:val="28"/>
          <w:szCs w:val="28"/>
        </w:rPr>
        <w:t>建立常态化检查机制，</w:t>
      </w:r>
      <w:r>
        <w:rPr>
          <w:rFonts w:hint="eastAsia" w:asciiTheme="minorEastAsia" w:hAnsiTheme="minorEastAsia"/>
          <w:color w:val="000000"/>
          <w:kern w:val="24"/>
          <w:sz w:val="28"/>
          <w:szCs w:val="28"/>
        </w:rPr>
        <w:t>贯彻落实《保障农民工工资支付条例》，扎实推进清理拖欠农民工工资问题。</w:t>
      </w:r>
      <w:r>
        <w:rPr>
          <w:rFonts w:asciiTheme="minorEastAsia" w:hAnsiTheme="minorEastAsia"/>
          <w:color w:val="000000"/>
          <w:kern w:val="24"/>
          <w:sz w:val="28"/>
          <w:szCs w:val="28"/>
        </w:rPr>
        <w:t>做好农民工的投诉服务，关于劳务费投诉的调解工作即时结案率</w:t>
      </w:r>
      <w:r>
        <w:rPr>
          <w:rFonts w:hint="eastAsia" w:asciiTheme="minorEastAsia" w:hAnsiTheme="minorEastAsia"/>
          <w:color w:val="000000"/>
          <w:kern w:val="24"/>
          <w:sz w:val="28"/>
          <w:szCs w:val="28"/>
        </w:rPr>
        <w:t>接近</w:t>
      </w:r>
      <w:r>
        <w:rPr>
          <w:rFonts w:asciiTheme="minorEastAsia" w:hAnsiTheme="minorEastAsia"/>
          <w:color w:val="000000"/>
          <w:kern w:val="24"/>
          <w:sz w:val="28"/>
          <w:szCs w:val="28"/>
        </w:rPr>
        <w:t>100%。加强农民工技能培训，举办天津市第六、第七届建筑业职业技能大赛，共有600多家企业的10.5万余人参加大赛。</w:t>
      </w:r>
    </w:p>
    <w:p w14:paraId="5476B5B5">
      <w:pPr>
        <w:spacing w:line="600" w:lineRule="exact"/>
        <w:rPr>
          <w:rFonts w:ascii="宋体" w:hAnsi="宋体" w:eastAsia="宋体"/>
          <w:color w:val="000000"/>
          <w:sz w:val="28"/>
          <w:szCs w:val="28"/>
        </w:rPr>
      </w:pPr>
      <w:r>
        <w:rPr>
          <w:rFonts w:hint="eastAsia"/>
          <w:sz w:val="28"/>
          <w:szCs w:val="28"/>
        </w:rPr>
        <w:t xml:space="preserve">   </w:t>
      </w:r>
      <w:r>
        <w:rPr>
          <w:sz w:val="28"/>
          <w:szCs w:val="28"/>
        </w:rPr>
        <w:t xml:space="preserve"> </w:t>
      </w:r>
      <w:r>
        <w:rPr>
          <w:rFonts w:hint="eastAsia"/>
          <w:sz w:val="28"/>
          <w:szCs w:val="28"/>
        </w:rPr>
        <w:t>总体来看，十三五期间，我市建筑业平稳推进，取得了显著的发展成效。但与先进地区相比，也存在一定差距：</w:t>
      </w:r>
      <w:r>
        <w:rPr>
          <w:rFonts w:hint="eastAsia" w:ascii="宋体" w:hAnsi="宋体" w:eastAsia="宋体"/>
          <w:color w:val="000000"/>
          <w:kern w:val="24"/>
          <w:sz w:val="28"/>
          <w:szCs w:val="28"/>
        </w:rPr>
        <w:t>本市</w:t>
      </w:r>
      <w:r>
        <w:rPr>
          <w:rFonts w:hint="eastAsia"/>
          <w:sz w:val="28"/>
          <w:szCs w:val="28"/>
        </w:rPr>
        <w:t>建筑业企业在发展规模、组织模式、建筑科技等方面，相较于国内一流企业还有提升空间；面对</w:t>
      </w:r>
      <w:r>
        <w:rPr>
          <w:rFonts w:hint="eastAsia" w:ascii="宋体" w:hAnsi="宋体" w:eastAsia="宋体"/>
          <w:color w:val="000000"/>
          <w:kern w:val="24"/>
          <w:sz w:val="28"/>
          <w:szCs w:val="28"/>
        </w:rPr>
        <w:t>建筑产业工人队伍普遍存在的无序流动性大、老龄化现象突出等问题，劳务管理及人才队伍建设还任重道远；在全市整体营商环境全面提升的同时，还有一些细节有待精耕细作，</w:t>
      </w:r>
      <w:r>
        <w:rPr>
          <w:rFonts w:hint="eastAsia" w:ascii="宋体" w:hAnsi="宋体" w:eastAsia="宋体"/>
          <w:color w:val="000000"/>
          <w:sz w:val="28"/>
          <w:szCs w:val="28"/>
        </w:rPr>
        <w:t>在政务信息化、智慧审批方面可以加快发展。</w:t>
      </w:r>
    </w:p>
    <w:p w14:paraId="10228A4B">
      <w:pPr>
        <w:spacing w:line="600" w:lineRule="exact"/>
        <w:rPr>
          <w:rFonts w:ascii="宋体" w:hAnsi="宋体" w:eastAsia="宋体"/>
          <w:color w:val="000000"/>
          <w:sz w:val="28"/>
          <w:szCs w:val="28"/>
        </w:rPr>
      </w:pPr>
    </w:p>
    <w:p w14:paraId="18200610">
      <w:pPr>
        <w:spacing w:line="360" w:lineRule="auto"/>
        <w:rPr>
          <w:rFonts w:ascii="宋体" w:hAnsi="宋体" w:eastAsia="宋体"/>
          <w:color w:val="000000"/>
          <w:sz w:val="28"/>
          <w:szCs w:val="28"/>
        </w:rPr>
      </w:pPr>
    </w:p>
    <w:p w14:paraId="0110DC10">
      <w:pPr>
        <w:spacing w:line="360" w:lineRule="auto"/>
        <w:rPr>
          <w:rFonts w:ascii="宋体" w:hAnsi="宋体" w:eastAsia="宋体"/>
          <w:color w:val="000000"/>
          <w:sz w:val="28"/>
          <w:szCs w:val="28"/>
        </w:rPr>
      </w:pPr>
    </w:p>
    <w:p w14:paraId="7ED70EA7">
      <w:pPr>
        <w:spacing w:line="360" w:lineRule="auto"/>
        <w:rPr>
          <w:rFonts w:ascii="宋体" w:hAnsi="宋体" w:eastAsia="宋体"/>
          <w:color w:val="000000"/>
          <w:sz w:val="28"/>
          <w:szCs w:val="28"/>
        </w:rPr>
      </w:pPr>
    </w:p>
    <w:p w14:paraId="1B5A0965">
      <w:pPr>
        <w:spacing w:line="360" w:lineRule="auto"/>
        <w:rPr>
          <w:rFonts w:ascii="宋体" w:hAnsi="宋体" w:eastAsia="宋体"/>
          <w:color w:val="000000"/>
          <w:sz w:val="28"/>
          <w:szCs w:val="28"/>
        </w:rPr>
      </w:pPr>
    </w:p>
    <w:p w14:paraId="682715EC">
      <w:pPr>
        <w:spacing w:line="360" w:lineRule="auto"/>
        <w:rPr>
          <w:rFonts w:ascii="宋体" w:hAnsi="宋体" w:eastAsia="宋体"/>
          <w:color w:val="000000"/>
          <w:sz w:val="28"/>
          <w:szCs w:val="28"/>
        </w:rPr>
      </w:pPr>
    </w:p>
    <w:p w14:paraId="3E80DB59">
      <w:pPr>
        <w:spacing w:line="360" w:lineRule="auto"/>
        <w:rPr>
          <w:rFonts w:ascii="宋体" w:hAnsi="宋体" w:eastAsia="宋体"/>
          <w:color w:val="000000"/>
          <w:sz w:val="28"/>
          <w:szCs w:val="28"/>
        </w:rPr>
      </w:pPr>
    </w:p>
    <w:p w14:paraId="706BAC49">
      <w:pPr>
        <w:spacing w:line="360" w:lineRule="auto"/>
        <w:rPr>
          <w:rFonts w:ascii="宋体" w:hAnsi="宋体" w:eastAsia="宋体"/>
          <w:color w:val="000000"/>
          <w:sz w:val="28"/>
          <w:szCs w:val="28"/>
        </w:rPr>
      </w:pPr>
    </w:p>
    <w:p w14:paraId="6AEF42CC">
      <w:pPr>
        <w:pStyle w:val="2"/>
        <w:numPr>
          <w:ilvl w:val="0"/>
          <w:numId w:val="1"/>
        </w:numPr>
        <w:spacing w:line="360" w:lineRule="auto"/>
        <w:jc w:val="center"/>
        <w:rPr>
          <w:b/>
          <w:bCs w:val="0"/>
        </w:rPr>
      </w:pPr>
      <w:r>
        <w:rPr>
          <w:rFonts w:ascii="宋体" w:hAnsi="宋体" w:eastAsia="宋体"/>
          <w:color w:val="000000"/>
          <w:sz w:val="28"/>
          <w:szCs w:val="28"/>
        </w:rPr>
        <w:t xml:space="preserve">  </w:t>
      </w:r>
      <w:bookmarkStart w:id="12" w:name="_Toc63321805"/>
      <w:r>
        <w:rPr>
          <w:b/>
          <w:bCs w:val="0"/>
        </w:rPr>
        <w:t>“</w:t>
      </w:r>
      <w:r>
        <w:rPr>
          <w:rFonts w:hint="eastAsia"/>
          <w:b/>
          <w:bCs w:val="0"/>
        </w:rPr>
        <w:t>十四五</w:t>
      </w:r>
      <w:r>
        <w:rPr>
          <w:b/>
          <w:bCs w:val="0"/>
        </w:rPr>
        <w:t>”</w:t>
      </w:r>
      <w:r>
        <w:rPr>
          <w:rFonts w:hint="eastAsia"/>
          <w:b/>
          <w:bCs w:val="0"/>
        </w:rPr>
        <w:t>时期天津市建筑业发展形势</w:t>
      </w:r>
      <w:bookmarkEnd w:id="12"/>
    </w:p>
    <w:p w14:paraId="77E28052">
      <w:pPr>
        <w:spacing w:line="360" w:lineRule="auto"/>
        <w:rPr>
          <w:sz w:val="28"/>
          <w:szCs w:val="28"/>
        </w:rPr>
      </w:pPr>
      <w:r>
        <w:rPr>
          <w:rFonts w:hint="eastAsia"/>
        </w:rPr>
        <w:t xml:space="preserve">      “</w:t>
      </w:r>
      <w:r>
        <w:rPr>
          <w:rFonts w:hint="eastAsia"/>
          <w:sz w:val="28"/>
          <w:szCs w:val="28"/>
        </w:rPr>
        <w:t>十四五</w:t>
      </w:r>
      <w:r>
        <w:rPr>
          <w:rFonts w:hint="eastAsia"/>
        </w:rPr>
        <w:t>”</w:t>
      </w:r>
      <w:r>
        <w:rPr>
          <w:rFonts w:hint="eastAsia"/>
          <w:sz w:val="28"/>
          <w:szCs w:val="28"/>
        </w:rPr>
        <w:t>时期，我国将全面开启建设社会主义现代化国家新征程，我市将构建高质量发展新格局。天津建筑业也必将迎来蓬勃发展的新的历史性机遇。与此同时，由于宏观经济环境风险和不确定性增加，传统建筑业转型升级压力增大，面临严峻挑战。</w:t>
      </w:r>
    </w:p>
    <w:p w14:paraId="4761BF80">
      <w:pPr>
        <w:pStyle w:val="3"/>
        <w:spacing w:line="360" w:lineRule="auto"/>
        <w:rPr>
          <w:bCs w:val="0"/>
        </w:rPr>
      </w:pPr>
      <w:bookmarkStart w:id="13" w:name="_Toc63321806"/>
      <w:r>
        <w:rPr>
          <w:rFonts w:hint="eastAsia"/>
          <w:b/>
          <w:bCs w:val="0"/>
        </w:rPr>
        <w:t>一、基础设施投资将出现明显增长</w:t>
      </w:r>
      <w:bookmarkEnd w:id="13"/>
    </w:p>
    <w:p w14:paraId="0BFC7921">
      <w:pPr>
        <w:snapToGrid w:val="0"/>
        <w:spacing w:line="360" w:lineRule="auto"/>
        <w:ind w:firstLine="570"/>
        <w:rPr>
          <w:rFonts w:ascii="宋体" w:hAnsi="宋体" w:eastAsia="宋体"/>
          <w:color w:val="000000"/>
          <w:sz w:val="28"/>
          <w:szCs w:val="28"/>
        </w:rPr>
      </w:pPr>
      <w:r>
        <w:rPr>
          <w:rFonts w:hint="eastAsia" w:ascii="宋体" w:hAnsi="宋体" w:eastAsia="宋体"/>
          <w:color w:val="000000"/>
          <w:sz w:val="28"/>
          <w:szCs w:val="28"/>
        </w:rPr>
        <w:t>以基础设施建设为主的固定资产投资将出现明显增长</w:t>
      </w:r>
      <w:r>
        <w:rPr>
          <w:rFonts w:ascii="宋体" w:hAnsi="宋体" w:eastAsia="宋体"/>
          <w:color w:val="000000"/>
          <w:sz w:val="28"/>
          <w:szCs w:val="28"/>
        </w:rPr>
        <w:t>，</w:t>
      </w:r>
      <w:r>
        <w:rPr>
          <w:rFonts w:hint="eastAsia" w:ascii="宋体" w:hAnsi="宋体" w:eastAsia="宋体"/>
          <w:color w:val="000000"/>
          <w:sz w:val="28"/>
          <w:szCs w:val="28"/>
        </w:rPr>
        <w:t>十九届五中全会提出，“十四五”期间的经济发展将以国内大循环为主</w:t>
      </w:r>
      <w:r>
        <w:rPr>
          <w:rFonts w:ascii="宋体" w:hAnsi="宋体" w:eastAsia="宋体"/>
          <w:color w:val="000000"/>
          <w:sz w:val="28"/>
          <w:szCs w:val="28"/>
        </w:rPr>
        <w:t>，</w:t>
      </w:r>
      <w:r>
        <w:rPr>
          <w:rFonts w:hint="eastAsia" w:ascii="宋体" w:hAnsi="宋体" w:eastAsia="宋体"/>
          <w:color w:val="000000"/>
          <w:sz w:val="28"/>
          <w:szCs w:val="28"/>
        </w:rPr>
        <w:t>加大国内基础设施投资成为“十四五”期间经济社会发展的主要任务之一，</w:t>
      </w:r>
      <w:r>
        <w:rPr>
          <w:rFonts w:ascii="宋体" w:hAnsi="宋体" w:eastAsia="宋体"/>
          <w:color w:val="000000"/>
          <w:sz w:val="28"/>
          <w:szCs w:val="28"/>
        </w:rPr>
        <w:t>《2020年政府工作报告》指出，将重点支持 “两新一重”（新型基础设施建设，新型城镇化建设，交通、水利等重大工程建设）建设。</w:t>
      </w:r>
      <w:r>
        <w:rPr>
          <w:rFonts w:hint="eastAsia" w:ascii="宋体" w:hAnsi="宋体" w:eastAsia="宋体"/>
          <w:color w:val="000000"/>
          <w:sz w:val="28"/>
          <w:szCs w:val="28"/>
        </w:rPr>
        <w:t>“十四五”期间新老基建共同带动的基础设施</w:t>
      </w:r>
      <w:r>
        <w:rPr>
          <w:rFonts w:ascii="宋体" w:hAnsi="宋体" w:eastAsia="宋体"/>
          <w:color w:val="000000"/>
          <w:sz w:val="28"/>
          <w:szCs w:val="28"/>
        </w:rPr>
        <w:t>业务板块</w:t>
      </w:r>
      <w:r>
        <w:rPr>
          <w:rFonts w:hint="eastAsia" w:ascii="宋体" w:hAnsi="宋体" w:eastAsia="宋体"/>
          <w:color w:val="000000"/>
          <w:sz w:val="28"/>
          <w:szCs w:val="28"/>
        </w:rPr>
        <w:t>将出现重大利好。对于我市区域市场，“滨城”基础设施补短板、北部新区开发等将给企业带来增长空间。</w:t>
      </w:r>
      <w:r>
        <w:rPr>
          <w:rFonts w:ascii="宋体" w:hAnsi="宋体" w:eastAsia="宋体"/>
          <w:color w:val="000000"/>
          <w:sz w:val="28"/>
          <w:szCs w:val="28"/>
        </w:rPr>
        <w:t>此外，我市地处京津冀核心区，地理位置优越，交通运输便利，在京津冀协同发展、</w:t>
      </w:r>
      <w:r>
        <w:rPr>
          <w:rFonts w:hint="eastAsia" w:ascii="宋体" w:hAnsi="宋体" w:eastAsia="宋体"/>
          <w:color w:val="000000"/>
          <w:sz w:val="28"/>
          <w:szCs w:val="28"/>
        </w:rPr>
        <w:t>雄安新区建设</w:t>
      </w:r>
      <w:r>
        <w:rPr>
          <w:rFonts w:ascii="宋体" w:hAnsi="宋体" w:eastAsia="宋体"/>
          <w:color w:val="000000"/>
          <w:sz w:val="28"/>
          <w:szCs w:val="28"/>
        </w:rPr>
        <w:t>等国家战略的背景下，必然带来旺盛的基础设施建设需求。</w:t>
      </w:r>
    </w:p>
    <w:p w14:paraId="6FBFA27B">
      <w:pPr>
        <w:pStyle w:val="3"/>
        <w:spacing w:line="329" w:lineRule="auto"/>
        <w:rPr>
          <w:bCs w:val="0"/>
        </w:rPr>
      </w:pPr>
      <w:bookmarkStart w:id="14" w:name="_Toc63321807"/>
      <w:r>
        <w:rPr>
          <w:rFonts w:hint="eastAsia"/>
          <w:b/>
          <w:bCs w:val="0"/>
        </w:rPr>
        <w:t>二、城市更新市场潜力巨大</w:t>
      </w:r>
      <w:bookmarkEnd w:id="14"/>
    </w:p>
    <w:p w14:paraId="25C92B11">
      <w:pPr>
        <w:spacing w:line="329" w:lineRule="auto"/>
        <w:ind w:firstLine="560" w:firstLineChars="200"/>
        <w:rPr>
          <w:rFonts w:asciiTheme="minorEastAsia" w:hAnsiTheme="minorEastAsia"/>
          <w:b/>
          <w:bCs/>
          <w:sz w:val="28"/>
          <w:szCs w:val="44"/>
        </w:rPr>
      </w:pPr>
      <w:r>
        <w:rPr>
          <w:rFonts w:hint="eastAsia" w:asciiTheme="minorEastAsia" w:hAnsiTheme="minorEastAsia"/>
          <w:sz w:val="28"/>
          <w:szCs w:val="32"/>
        </w:rPr>
        <w:t>目前全国城镇化率已经超过</w:t>
      </w:r>
      <w:r>
        <w:rPr>
          <w:rFonts w:cs="Times New Roman" w:asciiTheme="minorEastAsia" w:hAnsiTheme="minorEastAsia"/>
          <w:sz w:val="28"/>
          <w:szCs w:val="32"/>
        </w:rPr>
        <w:t>60%</w:t>
      </w:r>
      <w:r>
        <w:rPr>
          <w:rFonts w:hint="eastAsia" w:asciiTheme="minorEastAsia" w:hAnsiTheme="minorEastAsia"/>
          <w:sz w:val="28"/>
          <w:szCs w:val="32"/>
        </w:rPr>
        <w:t>，我市城镇化率超过</w:t>
      </w:r>
      <w:r>
        <w:rPr>
          <w:rFonts w:cs="Times New Roman" w:asciiTheme="minorEastAsia" w:hAnsiTheme="minorEastAsia"/>
          <w:sz w:val="28"/>
          <w:szCs w:val="32"/>
        </w:rPr>
        <w:t>80%</w:t>
      </w:r>
      <w:r>
        <w:rPr>
          <w:rFonts w:hint="eastAsia" w:asciiTheme="minorEastAsia" w:hAnsiTheme="minorEastAsia"/>
          <w:sz w:val="28"/>
          <w:szCs w:val="32"/>
        </w:rPr>
        <w:t>，城市发展短板亟待补足，满足人民日益增长的美好生活需要，就要逐步补齐城市基础设施和公共服务设施短板，推动城市结构调整优化，提高城市管理服务水平。近年来，从国务院到各地方政府都高度重视城市更新工作，发布了一系列政策文件。以老旧小区改造为代表的城市更新项目在“十三五”期间开始迅猛增长，仅</w:t>
      </w:r>
      <w:r>
        <w:rPr>
          <w:rFonts w:cs="Times New Roman" w:asciiTheme="minorEastAsia" w:hAnsiTheme="minorEastAsia"/>
          <w:sz w:val="28"/>
          <w:szCs w:val="32"/>
        </w:rPr>
        <w:t>2020</w:t>
      </w:r>
      <w:r>
        <w:rPr>
          <w:rFonts w:hint="eastAsia" w:asciiTheme="minorEastAsia" w:hAnsiTheme="minorEastAsia"/>
          <w:sz w:val="28"/>
          <w:szCs w:val="32"/>
        </w:rPr>
        <w:t>年一年全国就开工改造近</w:t>
      </w:r>
      <w:r>
        <w:rPr>
          <w:rFonts w:cs="Times New Roman" w:asciiTheme="minorEastAsia" w:hAnsiTheme="minorEastAsia"/>
          <w:sz w:val="28"/>
          <w:szCs w:val="32"/>
        </w:rPr>
        <w:t>4</w:t>
      </w:r>
      <w:r>
        <w:rPr>
          <w:rFonts w:hint="eastAsia" w:asciiTheme="minorEastAsia" w:hAnsiTheme="minorEastAsia"/>
          <w:sz w:val="28"/>
          <w:szCs w:val="32"/>
        </w:rPr>
        <w:t>万多个城镇老旧小区，以老旧小区改造为代表的城市更新项目在“十四五”期间还将有加快的趋势。</w:t>
      </w:r>
    </w:p>
    <w:p w14:paraId="3185F1AF">
      <w:pPr>
        <w:pStyle w:val="3"/>
        <w:spacing w:before="240" w:after="240" w:line="360" w:lineRule="auto"/>
        <w:rPr>
          <w:bCs w:val="0"/>
        </w:rPr>
      </w:pPr>
      <w:bookmarkStart w:id="15" w:name="_Toc63321808"/>
      <w:r>
        <w:rPr>
          <w:rFonts w:hint="eastAsia"/>
          <w:b/>
          <w:bCs w:val="0"/>
        </w:rPr>
        <w:t>三、技术发展与产业链融合提供了建筑业发展空间</w:t>
      </w:r>
      <w:bookmarkEnd w:id="15"/>
    </w:p>
    <w:p w14:paraId="7A959D7D">
      <w:pPr>
        <w:snapToGrid w:val="0"/>
        <w:spacing w:line="360" w:lineRule="auto"/>
        <w:rPr>
          <w:rFonts w:ascii="宋体" w:hAnsi="宋体" w:eastAsia="宋体"/>
          <w:color w:val="000000"/>
          <w:sz w:val="28"/>
          <w:szCs w:val="28"/>
        </w:rPr>
      </w:pPr>
      <w:r>
        <w:rPr>
          <w:rFonts w:ascii="宋体" w:hAnsi="宋体" w:eastAsia="宋体"/>
          <w:b/>
          <w:bCs/>
          <w:color w:val="000000"/>
          <w:sz w:val="28"/>
          <w:szCs w:val="28"/>
        </w:rPr>
        <w:t xml:space="preserve">   </w:t>
      </w:r>
      <w:r>
        <w:rPr>
          <w:rFonts w:hint="eastAsia" w:ascii="宋体" w:hAnsi="宋体" w:eastAsia="宋体"/>
          <w:color w:val="000000"/>
          <w:sz w:val="28"/>
          <w:szCs w:val="28"/>
        </w:rPr>
        <w:t>建筑工业化、BIM等建筑智能化等</w:t>
      </w:r>
      <w:r>
        <w:rPr>
          <w:rFonts w:ascii="宋体" w:hAnsi="宋体" w:eastAsia="宋体"/>
          <w:color w:val="000000"/>
          <w:sz w:val="28"/>
          <w:szCs w:val="28"/>
        </w:rPr>
        <w:t>技术进步促进</w:t>
      </w:r>
      <w:r>
        <w:rPr>
          <w:rFonts w:hint="eastAsia" w:ascii="宋体" w:hAnsi="宋体" w:eastAsia="宋体"/>
          <w:color w:val="000000"/>
          <w:sz w:val="28"/>
          <w:szCs w:val="28"/>
        </w:rPr>
        <w:t>行业</w:t>
      </w:r>
      <w:r>
        <w:rPr>
          <w:rFonts w:ascii="宋体" w:hAnsi="宋体" w:eastAsia="宋体"/>
          <w:color w:val="000000"/>
          <w:sz w:val="28"/>
          <w:szCs w:val="28"/>
        </w:rPr>
        <w:t>转型升级的发展空间巨大。我市部分建筑企业在建筑产业现代化中</w:t>
      </w:r>
      <w:r>
        <w:rPr>
          <w:rFonts w:hint="eastAsia" w:ascii="宋体" w:hAnsi="宋体" w:eastAsia="宋体"/>
          <w:color w:val="000000"/>
          <w:sz w:val="28"/>
          <w:szCs w:val="28"/>
        </w:rPr>
        <w:t>已经</w:t>
      </w:r>
      <w:r>
        <w:rPr>
          <w:rFonts w:ascii="宋体" w:hAnsi="宋体" w:eastAsia="宋体"/>
          <w:color w:val="000000"/>
          <w:sz w:val="28"/>
          <w:szCs w:val="28"/>
        </w:rPr>
        <w:t>积累了一定的技术优势，对</w:t>
      </w:r>
      <w:r>
        <w:rPr>
          <w:rFonts w:hint="eastAsia" w:ascii="宋体" w:hAnsi="宋体" w:eastAsia="宋体"/>
          <w:color w:val="000000"/>
          <w:sz w:val="28"/>
          <w:szCs w:val="28"/>
        </w:rPr>
        <w:t>其</w:t>
      </w:r>
      <w:r>
        <w:rPr>
          <w:rFonts w:ascii="宋体" w:hAnsi="宋体" w:eastAsia="宋体"/>
          <w:color w:val="000000"/>
          <w:sz w:val="28"/>
          <w:szCs w:val="28"/>
        </w:rPr>
        <w:t>进行合理的应用、改进、推广，将为我市建筑业提质增效提供强大动力。</w:t>
      </w:r>
      <w:r>
        <w:rPr>
          <w:rFonts w:hint="eastAsia" w:ascii="宋体" w:hAnsi="宋体" w:eastAsia="宋体"/>
          <w:color w:val="000000"/>
          <w:sz w:val="28"/>
          <w:szCs w:val="28"/>
        </w:rPr>
        <w:t>以工程总承包企业为核心，建筑业产业链不断延伸，专业企业深度参与，上下游产业融合发展也正在成为行业发展的主要趋势。PPP等创新投融资模式与新基建、生态环保、城市更新改造项目、智慧城市运营结合，为企业拓宽业务领域，形成全产业链覆盖的业务结构提供更多可能。</w:t>
      </w:r>
    </w:p>
    <w:p w14:paraId="58C7B939">
      <w:pPr>
        <w:pStyle w:val="3"/>
        <w:spacing w:before="240" w:after="240" w:line="360" w:lineRule="auto"/>
        <w:rPr>
          <w:bCs w:val="0"/>
        </w:rPr>
      </w:pPr>
      <w:bookmarkStart w:id="16" w:name="_Toc63321809"/>
      <w:r>
        <w:rPr>
          <w:rFonts w:hint="eastAsia"/>
          <w:b/>
          <w:bCs w:val="0"/>
        </w:rPr>
        <w:t>四、</w:t>
      </w:r>
      <w:r>
        <w:rPr>
          <w:b/>
          <w:bCs w:val="0"/>
        </w:rPr>
        <w:t>宏观发展环境面临复杂变化</w:t>
      </w:r>
      <w:bookmarkEnd w:id="16"/>
    </w:p>
    <w:p w14:paraId="0119A072">
      <w:pPr>
        <w:snapToGrid w:val="0"/>
        <w:spacing w:line="360" w:lineRule="auto"/>
        <w:rPr>
          <w:rFonts w:ascii="宋体" w:hAnsi="宋体" w:eastAsia="宋体"/>
          <w:color w:val="000000"/>
          <w:sz w:val="28"/>
          <w:szCs w:val="28"/>
        </w:rPr>
      </w:pPr>
      <w:r>
        <w:rPr>
          <w:rFonts w:ascii="宋体" w:hAnsi="宋体" w:eastAsia="宋体"/>
          <w:color w:val="000000"/>
          <w:sz w:val="28"/>
          <w:szCs w:val="28"/>
        </w:rPr>
        <w:t xml:space="preserve">    </w:t>
      </w:r>
      <w:r>
        <w:rPr>
          <w:rFonts w:hint="eastAsia" w:ascii="宋体" w:hAnsi="宋体" w:eastAsia="宋体"/>
          <w:color w:val="000000"/>
          <w:sz w:val="28"/>
          <w:szCs w:val="28"/>
        </w:rPr>
        <w:t>随着国际环境日趋复杂，不稳定性不确定性明显增加，新冠肺炎疫情影响广泛深远，经济全球化遭遇逆流，世界进入动荡变革期，使得建筑企业“走出去”的脚步可能减缓，国际工程风险明显增大。在全国城镇化率不断提高以及房地产市场“房住不炒”的长期政策背景下，建筑市场将从以增量开发为主向增量开发与存量更新并重转变，从以规模扩张为主向以品质提升为主转变，给建筑业高质量发展带来了全新的挑战和要求。</w:t>
      </w:r>
    </w:p>
    <w:p w14:paraId="4F2CD5A2">
      <w:pPr>
        <w:pStyle w:val="3"/>
        <w:spacing w:line="360" w:lineRule="auto"/>
        <w:rPr>
          <w:bCs w:val="0"/>
        </w:rPr>
      </w:pPr>
      <w:bookmarkStart w:id="17" w:name="_Toc63321810"/>
      <w:r>
        <w:rPr>
          <w:rFonts w:hint="eastAsia"/>
          <w:b/>
          <w:bCs w:val="0"/>
        </w:rPr>
        <w:t>五、传统建筑企业面临巨大挑战</w:t>
      </w:r>
      <w:bookmarkEnd w:id="17"/>
    </w:p>
    <w:p w14:paraId="6F90D4A4">
      <w:pPr>
        <w:snapToGrid w:val="0"/>
        <w:spacing w:line="360" w:lineRule="auto"/>
        <w:rPr>
          <w:rFonts w:ascii="宋体" w:hAnsi="宋体" w:eastAsia="宋体"/>
          <w:color w:val="000000"/>
          <w:sz w:val="28"/>
          <w:szCs w:val="28"/>
        </w:rPr>
      </w:pPr>
      <w:r>
        <w:rPr>
          <w:rFonts w:hint="eastAsia" w:ascii="宋体" w:hAnsi="宋体" w:eastAsia="宋体"/>
          <w:color w:val="000000"/>
          <w:sz w:val="28"/>
          <w:szCs w:val="28"/>
        </w:rPr>
        <w:t xml:space="preserve">    我市建筑市场开放程度高，已经处于激烈竞争状态，</w:t>
      </w:r>
      <w:r>
        <w:rPr>
          <w:rFonts w:ascii="宋体" w:hAnsi="宋体" w:eastAsia="宋体"/>
          <w:color w:val="000000"/>
          <w:sz w:val="28"/>
          <w:szCs w:val="28"/>
        </w:rPr>
        <w:t>资质层级和类别的减少与合并</w:t>
      </w:r>
      <w:r>
        <w:rPr>
          <w:rFonts w:hint="eastAsia" w:ascii="宋体" w:hAnsi="宋体" w:eastAsia="宋体"/>
          <w:color w:val="000000"/>
          <w:sz w:val="28"/>
          <w:szCs w:val="28"/>
        </w:rPr>
        <w:t>导致行业壁垒打破，将进一步加剧激烈的竞争态势；企业工程总承包管理能力不足</w:t>
      </w:r>
      <w:r>
        <w:rPr>
          <w:rFonts w:ascii="宋体" w:hAnsi="宋体" w:eastAsia="宋体"/>
          <w:color w:val="000000"/>
          <w:sz w:val="28"/>
          <w:szCs w:val="28"/>
        </w:rPr>
        <w:t>，复合型人才稀缺，导致传统建筑业企业从单纯施工或设计向工程总承包业务模式转型升级存在诸多障碍</w:t>
      </w:r>
      <w:r>
        <w:rPr>
          <w:rFonts w:hint="eastAsia" w:ascii="宋体" w:hAnsi="宋体" w:eastAsia="宋体"/>
          <w:color w:val="000000"/>
          <w:sz w:val="28"/>
          <w:szCs w:val="28"/>
        </w:rPr>
        <w:t>；</w:t>
      </w:r>
      <w:r>
        <w:rPr>
          <w:rFonts w:ascii="宋体" w:hAnsi="宋体" w:eastAsia="宋体"/>
          <w:color w:val="000000"/>
          <w:sz w:val="28"/>
          <w:szCs w:val="28"/>
        </w:rPr>
        <w:t>工程建设各个环节对智能建造</w:t>
      </w:r>
      <w:r>
        <w:rPr>
          <w:rFonts w:hint="eastAsia" w:ascii="宋体" w:hAnsi="宋体" w:eastAsia="宋体"/>
          <w:color w:val="000000"/>
          <w:sz w:val="28"/>
          <w:szCs w:val="28"/>
        </w:rPr>
        <w:t>、装配式建造等</w:t>
      </w:r>
      <w:r>
        <w:rPr>
          <w:rFonts w:ascii="宋体" w:hAnsi="宋体" w:eastAsia="宋体"/>
          <w:color w:val="000000"/>
          <w:sz w:val="28"/>
          <w:szCs w:val="28"/>
        </w:rPr>
        <w:t>提出了更高的要求，由于</w:t>
      </w:r>
      <w:r>
        <w:rPr>
          <w:rFonts w:hint="eastAsia" w:ascii="宋体" w:hAnsi="宋体" w:eastAsia="宋体"/>
          <w:color w:val="000000"/>
          <w:sz w:val="28"/>
          <w:szCs w:val="28"/>
        </w:rPr>
        <w:t>发展新型建筑</w:t>
      </w:r>
      <w:r>
        <w:rPr>
          <w:rFonts w:ascii="宋体" w:hAnsi="宋体" w:eastAsia="宋体"/>
          <w:color w:val="000000"/>
          <w:sz w:val="28"/>
          <w:szCs w:val="28"/>
        </w:rPr>
        <w:t>科技</w:t>
      </w:r>
      <w:r>
        <w:rPr>
          <w:rFonts w:hint="eastAsia" w:ascii="宋体" w:hAnsi="宋体" w:eastAsia="宋体"/>
          <w:color w:val="000000"/>
          <w:sz w:val="28"/>
          <w:szCs w:val="28"/>
        </w:rPr>
        <w:t>成本高</w:t>
      </w:r>
      <w:r>
        <w:rPr>
          <w:rFonts w:ascii="宋体" w:hAnsi="宋体" w:eastAsia="宋体"/>
          <w:color w:val="000000"/>
          <w:sz w:val="28"/>
          <w:szCs w:val="28"/>
        </w:rPr>
        <w:t>、时间长、技术更新替换快，</w:t>
      </w:r>
      <w:r>
        <w:rPr>
          <w:rFonts w:hint="eastAsia" w:ascii="宋体" w:hAnsi="宋体" w:eastAsia="宋体"/>
          <w:color w:val="000000"/>
          <w:sz w:val="28"/>
          <w:szCs w:val="28"/>
        </w:rPr>
        <w:t>部分中小企业难以进行持续大规模的投入，</w:t>
      </w:r>
      <w:r>
        <w:rPr>
          <w:rFonts w:ascii="宋体" w:hAnsi="宋体" w:eastAsia="宋体"/>
          <w:color w:val="000000"/>
          <w:sz w:val="28"/>
          <w:szCs w:val="28"/>
        </w:rPr>
        <w:t>建筑企业的</w:t>
      </w:r>
      <w:r>
        <w:rPr>
          <w:rFonts w:hint="eastAsia" w:ascii="宋体" w:hAnsi="宋体" w:eastAsia="宋体"/>
          <w:color w:val="000000"/>
          <w:sz w:val="28"/>
          <w:szCs w:val="28"/>
        </w:rPr>
        <w:t>科技</w:t>
      </w:r>
      <w:r>
        <w:rPr>
          <w:rFonts w:ascii="宋体" w:hAnsi="宋体" w:eastAsia="宋体"/>
          <w:color w:val="000000"/>
          <w:sz w:val="28"/>
          <w:szCs w:val="28"/>
        </w:rPr>
        <w:t>转型同样</w:t>
      </w:r>
      <w:r>
        <w:rPr>
          <w:rFonts w:hint="eastAsia" w:ascii="宋体" w:hAnsi="宋体" w:eastAsia="宋体"/>
          <w:color w:val="000000"/>
          <w:sz w:val="28"/>
          <w:szCs w:val="28"/>
        </w:rPr>
        <w:t>充满了挑战</w:t>
      </w:r>
      <w:r>
        <w:rPr>
          <w:rFonts w:ascii="宋体" w:hAnsi="宋体" w:eastAsia="宋体"/>
          <w:color w:val="000000"/>
          <w:sz w:val="28"/>
          <w:szCs w:val="28"/>
        </w:rPr>
        <w:t>。</w:t>
      </w:r>
    </w:p>
    <w:p w14:paraId="2A1253DF">
      <w:pPr>
        <w:snapToGrid w:val="0"/>
        <w:spacing w:line="360" w:lineRule="auto"/>
        <w:rPr>
          <w:rFonts w:ascii="宋体" w:hAnsi="宋体" w:eastAsia="宋体"/>
          <w:color w:val="000000"/>
          <w:sz w:val="28"/>
          <w:szCs w:val="28"/>
        </w:rPr>
      </w:pPr>
    </w:p>
    <w:p w14:paraId="1C284DCF">
      <w:pPr>
        <w:snapToGrid w:val="0"/>
        <w:spacing w:line="360" w:lineRule="auto"/>
        <w:rPr>
          <w:rFonts w:ascii="宋体" w:hAnsi="宋体" w:eastAsia="宋体"/>
          <w:color w:val="000000"/>
          <w:sz w:val="28"/>
          <w:szCs w:val="28"/>
        </w:rPr>
      </w:pPr>
    </w:p>
    <w:p w14:paraId="695E058C">
      <w:pPr>
        <w:snapToGrid w:val="0"/>
        <w:spacing w:line="360" w:lineRule="auto"/>
        <w:rPr>
          <w:rFonts w:ascii="宋体" w:hAnsi="宋体" w:eastAsia="宋体"/>
          <w:color w:val="000000"/>
          <w:sz w:val="28"/>
          <w:szCs w:val="28"/>
        </w:rPr>
      </w:pPr>
    </w:p>
    <w:p w14:paraId="3827B299">
      <w:pPr>
        <w:snapToGrid w:val="0"/>
        <w:spacing w:line="360" w:lineRule="auto"/>
        <w:rPr>
          <w:rFonts w:ascii="宋体" w:hAnsi="宋体" w:eastAsia="宋体"/>
          <w:color w:val="000000"/>
          <w:sz w:val="28"/>
          <w:szCs w:val="28"/>
        </w:rPr>
      </w:pPr>
    </w:p>
    <w:p w14:paraId="5277237B">
      <w:pPr>
        <w:snapToGrid w:val="0"/>
        <w:spacing w:line="360" w:lineRule="auto"/>
        <w:rPr>
          <w:rFonts w:ascii="宋体" w:hAnsi="宋体" w:eastAsia="宋体"/>
          <w:color w:val="000000"/>
          <w:sz w:val="28"/>
          <w:szCs w:val="28"/>
        </w:rPr>
      </w:pPr>
    </w:p>
    <w:p w14:paraId="6E8A2FFE">
      <w:pPr>
        <w:snapToGrid w:val="0"/>
        <w:spacing w:line="360" w:lineRule="auto"/>
        <w:rPr>
          <w:rFonts w:ascii="宋体" w:hAnsi="宋体" w:eastAsia="宋体"/>
          <w:color w:val="000000"/>
          <w:sz w:val="28"/>
          <w:szCs w:val="28"/>
        </w:rPr>
      </w:pPr>
    </w:p>
    <w:p w14:paraId="422446E9">
      <w:pPr>
        <w:snapToGrid w:val="0"/>
        <w:spacing w:line="360" w:lineRule="auto"/>
        <w:rPr>
          <w:rFonts w:ascii="宋体" w:hAnsi="宋体" w:eastAsia="宋体"/>
          <w:color w:val="000000"/>
          <w:sz w:val="28"/>
          <w:szCs w:val="28"/>
        </w:rPr>
      </w:pPr>
    </w:p>
    <w:p w14:paraId="621A55DA">
      <w:pPr>
        <w:snapToGrid w:val="0"/>
        <w:spacing w:line="360" w:lineRule="auto"/>
        <w:rPr>
          <w:rFonts w:ascii="宋体" w:hAnsi="宋体" w:eastAsia="宋体"/>
          <w:color w:val="000000"/>
          <w:sz w:val="28"/>
          <w:szCs w:val="28"/>
        </w:rPr>
      </w:pPr>
    </w:p>
    <w:p w14:paraId="11DE3A56">
      <w:pPr>
        <w:snapToGrid w:val="0"/>
        <w:spacing w:line="360" w:lineRule="auto"/>
        <w:rPr>
          <w:rFonts w:ascii="宋体" w:hAnsi="宋体" w:eastAsia="宋体"/>
          <w:color w:val="000000"/>
          <w:sz w:val="28"/>
          <w:szCs w:val="28"/>
        </w:rPr>
      </w:pPr>
    </w:p>
    <w:p w14:paraId="12336C7C">
      <w:pPr>
        <w:snapToGrid w:val="0"/>
        <w:spacing w:line="360" w:lineRule="auto"/>
        <w:rPr>
          <w:rFonts w:ascii="宋体" w:hAnsi="宋体" w:eastAsia="宋体"/>
          <w:color w:val="000000"/>
          <w:sz w:val="28"/>
          <w:szCs w:val="28"/>
        </w:rPr>
      </w:pPr>
    </w:p>
    <w:p w14:paraId="0CD8FEC0">
      <w:pPr>
        <w:snapToGrid w:val="0"/>
        <w:spacing w:line="360" w:lineRule="auto"/>
        <w:rPr>
          <w:rFonts w:ascii="宋体" w:hAnsi="宋体" w:eastAsia="宋体"/>
          <w:color w:val="000000"/>
          <w:sz w:val="28"/>
          <w:szCs w:val="28"/>
        </w:rPr>
      </w:pPr>
    </w:p>
    <w:p w14:paraId="5D7059AF">
      <w:pPr>
        <w:snapToGrid w:val="0"/>
        <w:spacing w:line="360" w:lineRule="auto"/>
        <w:rPr>
          <w:rFonts w:ascii="宋体" w:hAnsi="宋体" w:eastAsia="宋体"/>
          <w:color w:val="000000"/>
          <w:sz w:val="28"/>
          <w:szCs w:val="28"/>
        </w:rPr>
      </w:pPr>
    </w:p>
    <w:p w14:paraId="223A9A41">
      <w:pPr>
        <w:pStyle w:val="2"/>
        <w:spacing w:line="360" w:lineRule="auto"/>
        <w:rPr>
          <w:b/>
          <w:bCs w:val="0"/>
        </w:rPr>
      </w:pPr>
      <w:bookmarkStart w:id="18" w:name="_Toc63321811"/>
      <w:r>
        <w:rPr>
          <w:rFonts w:hint="eastAsia"/>
          <w:b/>
          <w:bCs w:val="0"/>
        </w:rPr>
        <w:t>第三部分</w:t>
      </w:r>
      <w:r>
        <w:rPr>
          <w:b/>
          <w:bCs w:val="0"/>
        </w:rPr>
        <w:t xml:space="preserve">  “</w:t>
      </w:r>
      <w:r>
        <w:rPr>
          <w:rFonts w:hint="eastAsia"/>
          <w:b/>
          <w:bCs w:val="0"/>
        </w:rPr>
        <w:t>十四五</w:t>
      </w:r>
      <w:r>
        <w:rPr>
          <w:b/>
          <w:bCs w:val="0"/>
        </w:rPr>
        <w:t>”</w:t>
      </w:r>
      <w:r>
        <w:rPr>
          <w:rFonts w:hint="eastAsia"/>
          <w:b/>
          <w:bCs w:val="0"/>
        </w:rPr>
        <w:t>时期天津市建筑业发展的指导思想和目标</w:t>
      </w:r>
      <w:bookmarkEnd w:id="18"/>
    </w:p>
    <w:p w14:paraId="3D3C8110">
      <w:pPr>
        <w:pStyle w:val="3"/>
        <w:spacing w:before="240" w:after="240" w:line="360" w:lineRule="auto"/>
        <w:rPr>
          <w:b/>
          <w:bCs w:val="0"/>
          <w:sz w:val="28"/>
          <w:szCs w:val="28"/>
        </w:rPr>
      </w:pPr>
      <w:bookmarkStart w:id="19" w:name="_Toc63321812"/>
      <w:r>
        <w:rPr>
          <w:rFonts w:hint="eastAsia" w:asciiTheme="minorEastAsia" w:hAnsiTheme="minorEastAsia" w:eastAsiaTheme="minorEastAsia"/>
          <w:b/>
          <w:bCs w:val="0"/>
          <w:sz w:val="28"/>
          <w:szCs w:val="28"/>
        </w:rPr>
        <w:t>一、</w:t>
      </w:r>
      <w:r>
        <w:rPr>
          <w:rFonts w:hint="eastAsia"/>
          <w:b/>
          <w:bCs w:val="0"/>
          <w:sz w:val="28"/>
          <w:szCs w:val="28"/>
        </w:rPr>
        <w:t>指导思想</w:t>
      </w:r>
      <w:bookmarkEnd w:id="19"/>
    </w:p>
    <w:p w14:paraId="5530074C">
      <w:pPr>
        <w:snapToGrid w:val="0"/>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以习近平新时代中国特色社会主义思想为指导，</w:t>
      </w:r>
      <w:r>
        <w:rPr>
          <w:rFonts w:hint="eastAsia" w:ascii="宋体" w:hAnsi="宋体" w:eastAsia="宋体"/>
          <w:color w:val="000000"/>
          <w:sz w:val="28"/>
          <w:szCs w:val="28"/>
        </w:rPr>
        <w:t>全面贯彻党的十九大和十九届二中、三中、四中、五中全会精神，服务京津冀协同发展、雄安新区建设等国家战略，按照天津市委十一届九次全会的要求，</w:t>
      </w:r>
      <w:r>
        <w:rPr>
          <w:rFonts w:ascii="宋体" w:hAnsi="宋体" w:eastAsia="宋体"/>
          <w:color w:val="000000"/>
          <w:sz w:val="28"/>
          <w:szCs w:val="28"/>
        </w:rPr>
        <w:t>服务于“十四五”期间基本实现天津“一基地三区”定位的目标，建设“五个现代化天津”。</w:t>
      </w:r>
      <w:r>
        <w:rPr>
          <w:rFonts w:hint="eastAsia" w:ascii="宋体" w:hAnsi="宋体" w:eastAsia="宋体"/>
          <w:color w:val="000000"/>
          <w:sz w:val="28"/>
          <w:szCs w:val="28"/>
        </w:rPr>
        <w:t xml:space="preserve">发挥建筑业在城市建设中的排头兵作用，为我市全面建设社会主义现代化大都市添砖加瓦。 </w:t>
      </w:r>
    </w:p>
    <w:p w14:paraId="6FD86B03">
      <w:pPr>
        <w:pStyle w:val="3"/>
        <w:spacing w:before="240" w:after="240" w:line="360" w:lineRule="auto"/>
        <w:rPr>
          <w:rFonts w:asciiTheme="minorEastAsia" w:hAnsiTheme="minorEastAsia" w:eastAsiaTheme="minorEastAsia"/>
          <w:b/>
          <w:bCs w:val="0"/>
          <w:sz w:val="28"/>
          <w:szCs w:val="28"/>
        </w:rPr>
      </w:pPr>
      <w:bookmarkStart w:id="20" w:name="_Toc63321813"/>
      <w:r>
        <w:rPr>
          <w:rFonts w:hint="eastAsia" w:asciiTheme="minorEastAsia" w:hAnsiTheme="minorEastAsia" w:eastAsiaTheme="minorEastAsia"/>
          <w:b/>
          <w:bCs w:val="0"/>
          <w:sz w:val="28"/>
          <w:szCs w:val="28"/>
        </w:rPr>
        <w:t>二、编制原则</w:t>
      </w:r>
      <w:bookmarkEnd w:id="20"/>
    </w:p>
    <w:p w14:paraId="2029BC2D">
      <w:pPr>
        <w:snapToGrid w:val="0"/>
        <w:spacing w:line="360" w:lineRule="auto"/>
        <w:ind w:firstLine="560" w:firstLineChars="200"/>
        <w:rPr>
          <w:sz w:val="28"/>
          <w:szCs w:val="28"/>
        </w:rPr>
      </w:pPr>
      <w:r>
        <w:rPr>
          <w:rFonts w:ascii="宋体" w:hAnsi="宋体" w:eastAsia="宋体"/>
          <w:color w:val="000000"/>
          <w:sz w:val="28"/>
          <w:szCs w:val="28"/>
        </w:rPr>
        <w:t>做到五个坚持，即坚持创新引领高质量发展，坚持绿色发展，坚持提升市场主体地位，</w:t>
      </w:r>
      <w:r>
        <w:rPr>
          <w:rFonts w:hint="eastAsia" w:ascii="宋体" w:hAnsi="宋体" w:eastAsia="宋体"/>
          <w:color w:val="000000"/>
          <w:sz w:val="28"/>
          <w:szCs w:val="28"/>
        </w:rPr>
        <w:t>坚持提升政府治理能力，</w:t>
      </w:r>
      <w:r>
        <w:rPr>
          <w:rFonts w:ascii="宋体" w:hAnsi="宋体" w:eastAsia="宋体"/>
          <w:color w:val="000000"/>
          <w:sz w:val="28"/>
          <w:szCs w:val="28"/>
        </w:rPr>
        <w:t>坚持优化营商环境。</w:t>
      </w:r>
      <w:r>
        <w:rPr>
          <w:rFonts w:hint="eastAsia" w:ascii="宋体" w:hAnsi="宋体" w:eastAsia="宋体"/>
          <w:color w:val="000000"/>
          <w:sz w:val="28"/>
          <w:szCs w:val="28"/>
        </w:rPr>
        <w:t>紧紧围绕两个建造，即以“先进建造”的理念促进行业转型升级，提升行业新技术应用水平，加快新型工程组织模式推广；以“天津建造”的品牌意识推动企业开拓市场，提升我市企业综合实力，构建建筑业良好生态。最终以“分析新形势”为依据，以“鼓舞新干劲”为目标、以“提出新理念”为愿景，以“展现新作为”为途径编制本规划。</w:t>
      </w:r>
    </w:p>
    <w:p w14:paraId="1CF77429">
      <w:pPr>
        <w:pStyle w:val="3"/>
        <w:spacing w:before="240" w:after="240" w:line="360" w:lineRule="auto"/>
        <w:rPr>
          <w:b/>
          <w:bCs w:val="0"/>
          <w:sz w:val="28"/>
          <w:szCs w:val="28"/>
        </w:rPr>
      </w:pPr>
      <w:bookmarkStart w:id="21" w:name="_Toc63321814"/>
      <w:r>
        <w:rPr>
          <w:rFonts w:asciiTheme="minorEastAsia" w:hAnsiTheme="minorEastAsia" w:eastAsiaTheme="minorEastAsia"/>
          <w:b/>
          <w:bCs w:val="0"/>
          <w:sz w:val="28"/>
          <w:szCs w:val="28"/>
        </w:rPr>
        <w:t>三</w:t>
      </w:r>
      <w:r>
        <w:rPr>
          <w:rFonts w:hint="eastAsia" w:asciiTheme="minorEastAsia" w:hAnsiTheme="minorEastAsia" w:eastAsiaTheme="minorEastAsia"/>
          <w:b/>
          <w:bCs w:val="0"/>
          <w:sz w:val="28"/>
          <w:szCs w:val="28"/>
        </w:rPr>
        <w:t>、主要</w:t>
      </w:r>
      <w:r>
        <w:rPr>
          <w:rFonts w:hint="eastAsia"/>
          <w:b/>
          <w:bCs w:val="0"/>
          <w:sz w:val="28"/>
          <w:szCs w:val="28"/>
        </w:rPr>
        <w:t>发展目标</w:t>
      </w:r>
      <w:bookmarkEnd w:id="21"/>
    </w:p>
    <w:p w14:paraId="37731FE0">
      <w:pPr>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“十四五”期间，着力抓好建筑业转型升级，为天津市实现“十四五”时期的经济社会发展目标做出应有贡献。</w:t>
      </w:r>
    </w:p>
    <w:p w14:paraId="569AA346">
      <w:pPr>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全市力争完成建筑业产值</w:t>
      </w:r>
      <w:r>
        <w:rPr>
          <w:rFonts w:cs="Times New Roman" w:asciiTheme="minorEastAsia" w:hAnsiTheme="minorEastAsia"/>
          <w:color w:val="000000"/>
          <w:sz w:val="28"/>
          <w:szCs w:val="28"/>
        </w:rPr>
        <w:t>2.7</w:t>
      </w:r>
      <w:r>
        <w:rPr>
          <w:rFonts w:asciiTheme="minorEastAsia" w:hAnsiTheme="minorEastAsia"/>
          <w:color w:val="000000"/>
          <w:sz w:val="28"/>
          <w:szCs w:val="28"/>
        </w:rPr>
        <w:t>万亿元</w:t>
      </w:r>
      <w:r>
        <w:rPr>
          <w:rFonts w:hint="eastAsia" w:asciiTheme="minorEastAsia" w:hAnsiTheme="minorEastAsia"/>
          <w:color w:val="000000"/>
          <w:sz w:val="28"/>
          <w:szCs w:val="28"/>
        </w:rPr>
        <w:t>，</w:t>
      </w:r>
      <w:r>
        <w:rPr>
          <w:rFonts w:asciiTheme="minorEastAsia" w:hAnsiTheme="minorEastAsia"/>
          <w:color w:val="000000"/>
          <w:sz w:val="28"/>
          <w:szCs w:val="28"/>
        </w:rPr>
        <w:t>实现建筑业增加值</w:t>
      </w:r>
      <w:r>
        <w:rPr>
          <w:rFonts w:cs="Times New Roman" w:asciiTheme="minorEastAsia" w:hAnsiTheme="minorEastAsia"/>
          <w:color w:val="000000"/>
          <w:sz w:val="28"/>
          <w:szCs w:val="28"/>
        </w:rPr>
        <w:t>4500</w:t>
      </w:r>
      <w:r>
        <w:rPr>
          <w:rFonts w:asciiTheme="minorEastAsia" w:hAnsiTheme="minorEastAsia"/>
          <w:color w:val="000000"/>
          <w:sz w:val="28"/>
          <w:szCs w:val="28"/>
        </w:rPr>
        <w:t>亿元</w:t>
      </w:r>
      <w:r>
        <w:rPr>
          <w:rFonts w:hint="eastAsia" w:asciiTheme="minorEastAsia" w:hAnsiTheme="minorEastAsia"/>
          <w:color w:val="000000"/>
          <w:sz w:val="28"/>
          <w:szCs w:val="28"/>
        </w:rPr>
        <w:t>；</w:t>
      </w:r>
    </w:p>
    <w:p w14:paraId="0576988A">
      <w:pPr>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“十四五”末，全市建筑企业实力显著增强，力争实现</w:t>
      </w:r>
      <w:r>
        <w:rPr>
          <w:rFonts w:cs="Times New Roman" w:asciiTheme="minorEastAsia" w:hAnsiTheme="minorEastAsia"/>
          <w:color w:val="000000"/>
          <w:sz w:val="28"/>
          <w:szCs w:val="28"/>
        </w:rPr>
        <w:t>5</w:t>
      </w:r>
      <w:r>
        <w:rPr>
          <w:rFonts w:asciiTheme="minorEastAsia" w:hAnsiTheme="minorEastAsia"/>
          <w:color w:val="000000"/>
          <w:sz w:val="28"/>
          <w:szCs w:val="28"/>
        </w:rPr>
        <w:t>家建筑业企业营业额突破五百亿，</w:t>
      </w:r>
      <w:r>
        <w:rPr>
          <w:rFonts w:cs="Times New Roman" w:asciiTheme="minorEastAsia" w:hAnsiTheme="minorEastAsia"/>
          <w:color w:val="000000"/>
          <w:sz w:val="28"/>
          <w:szCs w:val="28"/>
        </w:rPr>
        <w:t>15</w:t>
      </w:r>
      <w:r>
        <w:rPr>
          <w:rFonts w:asciiTheme="minorEastAsia" w:hAnsiTheme="minorEastAsia"/>
          <w:color w:val="000000"/>
          <w:sz w:val="28"/>
          <w:szCs w:val="28"/>
        </w:rPr>
        <w:t>家建筑业企业营业额突破百亿</w:t>
      </w:r>
      <w:r>
        <w:rPr>
          <w:rFonts w:hint="eastAsia" w:asciiTheme="minorEastAsia" w:hAnsiTheme="minorEastAsia"/>
          <w:color w:val="000000"/>
          <w:sz w:val="28"/>
          <w:szCs w:val="28"/>
        </w:rPr>
        <w:t xml:space="preserve">；   </w:t>
      </w:r>
      <w:r>
        <w:rPr>
          <w:rFonts w:asciiTheme="minorEastAsia" w:hAnsiTheme="minorEastAsia"/>
          <w:color w:val="000000"/>
          <w:sz w:val="28"/>
          <w:szCs w:val="28"/>
        </w:rPr>
        <w:t xml:space="preserve">      </w:t>
      </w:r>
    </w:p>
    <w:p w14:paraId="31C68D06">
      <w:pPr>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----建筑产业现代化达到全国领先水平，劳动生产率突破</w:t>
      </w:r>
      <w:r>
        <w:rPr>
          <w:rFonts w:cs="Times New Roman" w:asciiTheme="minorEastAsia" w:hAnsiTheme="minorEastAsia"/>
          <w:color w:val="000000"/>
          <w:sz w:val="28"/>
          <w:szCs w:val="28"/>
        </w:rPr>
        <w:t>55</w:t>
      </w:r>
      <w:r>
        <w:rPr>
          <w:rFonts w:hint="eastAsia" w:asciiTheme="minorEastAsia" w:hAnsiTheme="minorEastAsia"/>
          <w:color w:val="000000"/>
          <w:sz w:val="28"/>
          <w:szCs w:val="28"/>
        </w:rPr>
        <w:t>万元/人</w:t>
      </w:r>
      <w:r>
        <w:rPr>
          <w:rFonts w:asciiTheme="minorEastAsia" w:hAnsiTheme="minorEastAsia"/>
          <w:color w:val="000000"/>
          <w:sz w:val="28"/>
          <w:szCs w:val="28"/>
        </w:rPr>
        <w:t>；</w:t>
      </w:r>
    </w:p>
    <w:p w14:paraId="291CDD12">
      <w:pPr>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持证人才进一步增长，注册建造师执业资格的人数超过</w:t>
      </w:r>
      <w:r>
        <w:rPr>
          <w:rFonts w:cs="Times New Roman" w:asciiTheme="minorEastAsia" w:hAnsiTheme="minorEastAsia"/>
          <w:color w:val="000000"/>
          <w:sz w:val="28"/>
          <w:szCs w:val="28"/>
        </w:rPr>
        <w:t>5</w:t>
      </w:r>
      <w:r>
        <w:rPr>
          <w:rFonts w:asciiTheme="minorEastAsia" w:hAnsiTheme="minorEastAsia"/>
          <w:color w:val="000000"/>
          <w:sz w:val="28"/>
          <w:szCs w:val="28"/>
        </w:rPr>
        <w:t>万人，注册监理工程师执业资格的人数达到</w:t>
      </w:r>
      <w:r>
        <w:rPr>
          <w:rFonts w:cs="Times New Roman" w:asciiTheme="minorEastAsia" w:hAnsiTheme="minorEastAsia"/>
          <w:color w:val="000000"/>
          <w:sz w:val="28"/>
          <w:szCs w:val="28"/>
        </w:rPr>
        <w:t>4500</w:t>
      </w:r>
      <w:r>
        <w:rPr>
          <w:rFonts w:asciiTheme="minorEastAsia" w:hAnsiTheme="minorEastAsia"/>
          <w:color w:val="000000"/>
          <w:sz w:val="28"/>
          <w:szCs w:val="28"/>
        </w:rPr>
        <w:t>人以上，注册造价工程师执业资格的人数达到</w:t>
      </w:r>
      <w:r>
        <w:rPr>
          <w:rFonts w:cs="Times New Roman" w:asciiTheme="minorEastAsia" w:hAnsiTheme="minorEastAsia"/>
          <w:color w:val="000000"/>
          <w:sz w:val="28"/>
          <w:szCs w:val="28"/>
        </w:rPr>
        <w:t>5000</w:t>
      </w:r>
      <w:r>
        <w:rPr>
          <w:rFonts w:asciiTheme="minorEastAsia" w:hAnsiTheme="minorEastAsia"/>
          <w:color w:val="000000"/>
          <w:sz w:val="28"/>
          <w:szCs w:val="28"/>
        </w:rPr>
        <w:t>人以上</w:t>
      </w:r>
      <w:r>
        <w:rPr>
          <w:rFonts w:hint="eastAsia" w:asciiTheme="minorEastAsia" w:hAnsiTheme="minorEastAsia"/>
          <w:color w:val="000000"/>
          <w:sz w:val="28"/>
          <w:szCs w:val="28"/>
        </w:rPr>
        <w:t>；</w:t>
      </w:r>
    </w:p>
    <w:p w14:paraId="04542923">
      <w:pPr>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w:t>
      </w:r>
      <w:r>
        <w:rPr>
          <w:rFonts w:hint="eastAsia" w:asciiTheme="minorEastAsia" w:hAnsiTheme="minorEastAsia"/>
          <w:color w:val="000000"/>
          <w:sz w:val="28"/>
          <w:szCs w:val="28"/>
        </w:rPr>
        <w:t>建筑业劳务人员产业工人化取得初步成效，从业人员素质显著提升，实现建筑工人培训全覆盖。</w:t>
      </w:r>
    </w:p>
    <w:p w14:paraId="2A7E1E5A">
      <w:pPr>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w:t>
      </w:r>
      <w:r>
        <w:rPr>
          <w:rFonts w:hint="eastAsia" w:asciiTheme="minorEastAsia" w:hAnsiTheme="minorEastAsia"/>
          <w:color w:val="000000"/>
          <w:sz w:val="28"/>
          <w:szCs w:val="28"/>
        </w:rPr>
        <w:t>建筑市场监管、审批工作信息化程度明显提升，政府服务意识显著提高，营商环境不断优化。</w:t>
      </w:r>
    </w:p>
    <w:p w14:paraId="405E2FDD">
      <w:pPr>
        <w:pStyle w:val="3"/>
        <w:spacing w:line="360" w:lineRule="auto"/>
        <w:rPr>
          <w:b/>
          <w:bCs w:val="0"/>
          <w:sz w:val="28"/>
          <w:szCs w:val="28"/>
        </w:rPr>
      </w:pPr>
      <w:bookmarkStart w:id="22" w:name="_Toc63321815"/>
      <w:r>
        <w:rPr>
          <w:rFonts w:ascii="宋体" w:hAnsi="宋体" w:eastAsia="宋体"/>
          <w:b/>
          <w:bCs w:val="0"/>
          <w:sz w:val="28"/>
          <w:szCs w:val="28"/>
        </w:rPr>
        <w:t>四</w:t>
      </w:r>
      <w:r>
        <w:rPr>
          <w:rFonts w:hint="eastAsia" w:ascii="宋体" w:hAnsi="宋体" w:eastAsia="宋体"/>
          <w:b/>
          <w:bCs w:val="0"/>
          <w:sz w:val="28"/>
          <w:szCs w:val="28"/>
        </w:rPr>
        <w:t>、</w:t>
      </w:r>
      <w:r>
        <w:rPr>
          <w:rFonts w:hint="eastAsia"/>
          <w:b/>
          <w:bCs w:val="0"/>
          <w:sz w:val="28"/>
          <w:szCs w:val="28"/>
        </w:rPr>
        <w:t>远景目标</w:t>
      </w:r>
      <w:bookmarkEnd w:id="22"/>
    </w:p>
    <w:p w14:paraId="126784EA">
      <w:pPr>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到</w:t>
      </w:r>
      <w:r>
        <w:rPr>
          <w:rFonts w:cs="Times New Roman" w:asciiTheme="minorEastAsia" w:hAnsiTheme="minorEastAsia"/>
          <w:color w:val="000000"/>
          <w:sz w:val="28"/>
          <w:szCs w:val="28"/>
        </w:rPr>
        <w:t>2035</w:t>
      </w:r>
      <w:r>
        <w:rPr>
          <w:rFonts w:asciiTheme="minorEastAsia" w:hAnsiTheme="minorEastAsia"/>
          <w:color w:val="000000"/>
          <w:sz w:val="28"/>
          <w:szCs w:val="28"/>
        </w:rPr>
        <w:t>年，</w:t>
      </w:r>
      <w:r>
        <w:rPr>
          <w:rFonts w:hint="eastAsia" w:asciiTheme="minorEastAsia" w:hAnsiTheme="minorEastAsia"/>
          <w:color w:val="000000"/>
          <w:sz w:val="28"/>
          <w:szCs w:val="28"/>
        </w:rPr>
        <w:t>完全实现“先进建造”愿景，建筑</w:t>
      </w:r>
      <w:r>
        <w:rPr>
          <w:rFonts w:asciiTheme="minorEastAsia" w:hAnsiTheme="minorEastAsia"/>
          <w:color w:val="000000"/>
          <w:sz w:val="28"/>
          <w:szCs w:val="28"/>
        </w:rPr>
        <w:t>产业现代化程度大幅提升，模块化建造比例超过</w:t>
      </w:r>
      <w:r>
        <w:rPr>
          <w:rFonts w:cs="Times New Roman" w:asciiTheme="minorEastAsia" w:hAnsiTheme="minorEastAsia"/>
          <w:color w:val="000000"/>
          <w:sz w:val="28"/>
          <w:szCs w:val="28"/>
        </w:rPr>
        <w:t>50%</w:t>
      </w:r>
      <w:r>
        <w:rPr>
          <w:rFonts w:hint="eastAsia" w:asciiTheme="minorEastAsia" w:hAnsiTheme="minorEastAsia"/>
          <w:color w:val="000000"/>
          <w:sz w:val="28"/>
          <w:szCs w:val="28"/>
        </w:rPr>
        <w:t>；</w:t>
      </w:r>
      <w:r>
        <w:rPr>
          <w:rFonts w:asciiTheme="minorEastAsia" w:hAnsiTheme="minorEastAsia"/>
          <w:color w:val="000000"/>
          <w:sz w:val="28"/>
          <w:szCs w:val="28"/>
        </w:rPr>
        <w:t>高水平信息化建造实现全过程、全覆盖，建筑全生命周期耗能和排放大幅降低，</w:t>
      </w:r>
      <w:r>
        <w:rPr>
          <w:rFonts w:hint="eastAsia" w:asciiTheme="minorEastAsia" w:hAnsiTheme="minorEastAsia"/>
          <w:color w:val="000000"/>
          <w:sz w:val="28"/>
          <w:szCs w:val="28"/>
        </w:rPr>
        <w:t>劳动生产率颠覆性增长，高素质的建筑产业工人队伍基本建成</w:t>
      </w:r>
      <w:r>
        <w:rPr>
          <w:rFonts w:asciiTheme="minorEastAsia" w:hAnsiTheme="minorEastAsia"/>
          <w:color w:val="000000"/>
          <w:sz w:val="28"/>
          <w:szCs w:val="28"/>
        </w:rPr>
        <w:t>；建筑市场管理与质量安全管理实现全面现代化，建成完善的基于物联网、大数据的信用体系与智慧监管体系，形成以信用和制度为基础的自律市场；建筑产业链整合基本完成，形成数个全国知名的大型建筑企业集团与专业承包企业，“天津建造”品牌得到广泛认可，</w:t>
      </w:r>
      <w:r>
        <w:rPr>
          <w:rFonts w:hint="eastAsia" w:asciiTheme="minorEastAsia" w:hAnsiTheme="minorEastAsia"/>
          <w:color w:val="000000"/>
          <w:sz w:val="28"/>
          <w:szCs w:val="28"/>
        </w:rPr>
        <w:t>企业国际化进程取得重大进展</w:t>
      </w:r>
      <w:r>
        <w:rPr>
          <w:rFonts w:asciiTheme="minorEastAsia" w:hAnsiTheme="minorEastAsia"/>
          <w:color w:val="000000"/>
          <w:sz w:val="28"/>
          <w:szCs w:val="28"/>
        </w:rPr>
        <w:t>。</w:t>
      </w:r>
    </w:p>
    <w:p w14:paraId="0B8837CD">
      <w:pPr>
        <w:snapToGrid w:val="0"/>
        <w:spacing w:line="360" w:lineRule="auto"/>
        <w:ind w:firstLine="560" w:firstLineChars="200"/>
        <w:rPr>
          <w:rFonts w:ascii="宋体" w:hAnsi="宋体" w:eastAsia="宋体"/>
          <w:color w:val="000000"/>
          <w:sz w:val="28"/>
          <w:szCs w:val="28"/>
        </w:rPr>
      </w:pPr>
    </w:p>
    <w:p w14:paraId="0BC3E92E">
      <w:pPr>
        <w:snapToGrid w:val="0"/>
        <w:spacing w:line="360" w:lineRule="auto"/>
        <w:ind w:firstLine="560" w:firstLineChars="200"/>
        <w:rPr>
          <w:rFonts w:ascii="宋体" w:hAnsi="宋体" w:eastAsia="宋体"/>
          <w:color w:val="000000"/>
          <w:sz w:val="28"/>
          <w:szCs w:val="28"/>
        </w:rPr>
      </w:pPr>
    </w:p>
    <w:p w14:paraId="4D07FD19">
      <w:pPr>
        <w:snapToGrid w:val="0"/>
        <w:spacing w:line="360" w:lineRule="auto"/>
        <w:ind w:firstLine="560" w:firstLineChars="200"/>
        <w:rPr>
          <w:rFonts w:ascii="宋体" w:hAnsi="宋体" w:eastAsia="宋体"/>
          <w:color w:val="000000"/>
          <w:sz w:val="28"/>
          <w:szCs w:val="28"/>
        </w:rPr>
      </w:pPr>
    </w:p>
    <w:p w14:paraId="3E58876D">
      <w:pPr>
        <w:snapToGrid w:val="0"/>
        <w:spacing w:line="360" w:lineRule="auto"/>
        <w:ind w:firstLine="560" w:firstLineChars="200"/>
        <w:rPr>
          <w:rFonts w:ascii="宋体" w:hAnsi="宋体" w:eastAsia="宋体"/>
          <w:color w:val="000000"/>
          <w:sz w:val="28"/>
          <w:szCs w:val="28"/>
        </w:rPr>
      </w:pPr>
    </w:p>
    <w:p w14:paraId="2862C8D2">
      <w:pPr>
        <w:pStyle w:val="2"/>
        <w:spacing w:line="360" w:lineRule="auto"/>
        <w:jc w:val="center"/>
        <w:rPr>
          <w:b/>
          <w:bCs w:val="0"/>
        </w:rPr>
      </w:pPr>
      <w:bookmarkStart w:id="23" w:name="_Toc63321816"/>
      <w:r>
        <w:rPr>
          <w:rFonts w:hint="eastAsia"/>
          <w:b/>
          <w:bCs w:val="0"/>
        </w:rPr>
        <w:t>第四部分</w:t>
      </w:r>
      <w:r>
        <w:rPr>
          <w:b/>
          <w:bCs w:val="0"/>
        </w:rPr>
        <w:t xml:space="preserve">  “</w:t>
      </w:r>
      <w:r>
        <w:rPr>
          <w:rFonts w:hint="eastAsia"/>
          <w:b/>
          <w:bCs w:val="0"/>
        </w:rPr>
        <w:t>十四五</w:t>
      </w:r>
      <w:r>
        <w:rPr>
          <w:b/>
          <w:bCs w:val="0"/>
        </w:rPr>
        <w:t>”</w:t>
      </w:r>
      <w:r>
        <w:rPr>
          <w:rFonts w:hint="eastAsia"/>
          <w:b/>
          <w:bCs w:val="0"/>
        </w:rPr>
        <w:t>时期天津市建筑业发展的主要任务</w:t>
      </w:r>
      <w:bookmarkEnd w:id="23"/>
    </w:p>
    <w:p w14:paraId="70BEE286">
      <w:pPr>
        <w:pStyle w:val="3"/>
        <w:numPr>
          <w:ilvl w:val="0"/>
          <w:numId w:val="2"/>
        </w:numPr>
        <w:spacing w:line="580" w:lineRule="exact"/>
        <w:rPr>
          <w:b/>
          <w:bCs w:val="0"/>
        </w:rPr>
      </w:pPr>
      <w:bookmarkStart w:id="24" w:name="_Toc63321817"/>
      <w:r>
        <w:rPr>
          <w:rFonts w:hint="eastAsia"/>
          <w:b/>
          <w:bCs w:val="0"/>
        </w:rPr>
        <w:t>做大做强建筑企业，打造“天津建造”品牌</w:t>
      </w:r>
      <w:bookmarkEnd w:id="24"/>
      <w:r>
        <w:rPr>
          <w:b/>
          <w:bCs w:val="0"/>
        </w:rPr>
        <w:t xml:space="preserve"> </w:t>
      </w:r>
    </w:p>
    <w:p w14:paraId="333A1A62">
      <w:pPr>
        <w:spacing w:line="580" w:lineRule="exact"/>
        <w:ind w:firstLine="562" w:firstLineChars="200"/>
        <w:rPr>
          <w:sz w:val="28"/>
        </w:rPr>
      </w:pPr>
      <w:r>
        <w:rPr>
          <w:rFonts w:hint="eastAsia"/>
          <w:b/>
          <w:sz w:val="28"/>
        </w:rPr>
        <w:t>优质企业是行业高质量发展的基石。</w:t>
      </w:r>
      <w:r>
        <w:rPr>
          <w:rFonts w:hint="eastAsia"/>
          <w:sz w:val="28"/>
        </w:rPr>
        <w:t>“天津建造”即通过分类培育支持、市场开拓、产业链整合提升我市骨干建筑业企业实力，并从全行业出发做好品牌维护，从而提升我市建筑业综合竞争力和知名度。</w:t>
      </w:r>
    </w:p>
    <w:p w14:paraId="66051E65">
      <w:pPr>
        <w:pStyle w:val="4"/>
        <w:spacing w:line="580" w:lineRule="exact"/>
        <w:rPr>
          <w:b w:val="0"/>
        </w:rPr>
      </w:pPr>
      <w:bookmarkStart w:id="25" w:name="_Toc63321818"/>
      <w:bookmarkStart w:id="26" w:name="_Hlk55641457"/>
      <w:r>
        <w:t>（一） 以“三驾马车”扶持骨干企业</w:t>
      </w:r>
      <w:bookmarkEnd w:id="25"/>
    </w:p>
    <w:bookmarkEnd w:id="26"/>
    <w:p w14:paraId="6D6C024C">
      <w:pPr>
        <w:spacing w:line="580" w:lineRule="exact"/>
        <w:ind w:firstLine="560" w:firstLineChars="200"/>
        <w:rPr>
          <w:sz w:val="28"/>
        </w:rPr>
      </w:pPr>
      <w:r>
        <w:rPr>
          <w:rFonts w:hint="eastAsia"/>
          <w:sz w:val="28"/>
        </w:rPr>
        <w:t>把握好我市建筑业发展的“三驾马车”，即市属国企、民营企业、央企及外地企业，根据企业特点分类制定发展政策。</w:t>
      </w:r>
    </w:p>
    <w:p w14:paraId="63A1163E">
      <w:pPr>
        <w:spacing w:line="580" w:lineRule="exact"/>
        <w:ind w:firstLine="562" w:firstLineChars="200"/>
        <w:rPr>
          <w:sz w:val="28"/>
        </w:rPr>
      </w:pPr>
      <w:r>
        <w:rPr>
          <w:rFonts w:hint="eastAsia"/>
          <w:b/>
          <w:bCs/>
          <w:sz w:val="28"/>
        </w:rPr>
        <w:t>加快国企改革。</w:t>
      </w:r>
      <w:r>
        <w:rPr>
          <w:sz w:val="28"/>
        </w:rPr>
        <w:t>以本轮国企混改、三项制度改革为契机提升我市国有建筑企业活力，完善现代企业制度，提升</w:t>
      </w:r>
      <w:r>
        <w:rPr>
          <w:rFonts w:hint="eastAsia"/>
          <w:sz w:val="28"/>
        </w:rPr>
        <w:t>市属国企</w:t>
      </w:r>
      <w:r>
        <w:rPr>
          <w:sz w:val="28"/>
        </w:rPr>
        <w:t>竞争力，</w:t>
      </w:r>
      <w:r>
        <w:rPr>
          <w:rFonts w:hint="eastAsia"/>
          <w:sz w:val="28"/>
        </w:rPr>
        <w:t>打造本地龙头企业，</w:t>
      </w:r>
      <w:r>
        <w:rPr>
          <w:sz w:val="28"/>
        </w:rPr>
        <w:t>发挥龙头企业</w:t>
      </w:r>
      <w:r>
        <w:rPr>
          <w:rFonts w:hint="eastAsia"/>
          <w:sz w:val="28"/>
        </w:rPr>
        <w:t>的</w:t>
      </w:r>
      <w:r>
        <w:rPr>
          <w:sz w:val="28"/>
        </w:rPr>
        <w:t>行业引领作用。</w:t>
      </w:r>
    </w:p>
    <w:p w14:paraId="35DF3372">
      <w:pPr>
        <w:spacing w:line="580" w:lineRule="exact"/>
        <w:ind w:firstLine="562" w:firstLineChars="200"/>
        <w:rPr>
          <w:sz w:val="28"/>
        </w:rPr>
      </w:pPr>
      <w:r>
        <w:rPr>
          <w:b/>
          <w:bCs/>
          <w:sz w:val="28"/>
        </w:rPr>
        <w:t>发展</w:t>
      </w:r>
      <w:r>
        <w:rPr>
          <w:rFonts w:hint="eastAsia"/>
          <w:b/>
          <w:bCs/>
          <w:sz w:val="28"/>
        </w:rPr>
        <w:t>帮扶中小企业。</w:t>
      </w:r>
      <w:r>
        <w:rPr>
          <w:sz w:val="28"/>
        </w:rPr>
        <w:t>出台</w:t>
      </w:r>
      <w:r>
        <w:rPr>
          <w:rFonts w:hint="eastAsia"/>
          <w:sz w:val="28"/>
        </w:rPr>
        <w:t>帮扶中小企业发展</w:t>
      </w:r>
      <w:r>
        <w:rPr>
          <w:sz w:val="28"/>
        </w:rPr>
        <w:t>的具体措施，为民营企业创造平等市场地位，</w:t>
      </w:r>
      <w:r>
        <w:rPr>
          <w:rFonts w:hint="eastAsia"/>
          <w:sz w:val="28"/>
        </w:rPr>
        <w:t>结合我市人才引进计划、中小企业融资支持计划，从人才引进、金融政策等方面帮助</w:t>
      </w:r>
      <w:r>
        <w:rPr>
          <w:sz w:val="28"/>
        </w:rPr>
        <w:t>民营企业</w:t>
      </w:r>
      <w:r>
        <w:rPr>
          <w:rFonts w:hint="eastAsia"/>
          <w:sz w:val="28"/>
        </w:rPr>
        <w:t>。鼓励</w:t>
      </w:r>
      <w:r>
        <w:rPr>
          <w:sz w:val="28"/>
        </w:rPr>
        <w:t>民营企业创新创优，鼓励民营企业走专业化发展道路，在特定领域形成业务优势，提升民营企业发展活力。</w:t>
      </w:r>
    </w:p>
    <w:p w14:paraId="4EC57DF8">
      <w:pPr>
        <w:spacing w:line="580" w:lineRule="exact"/>
        <w:ind w:firstLine="562" w:firstLineChars="200"/>
        <w:rPr>
          <w:sz w:val="28"/>
        </w:rPr>
      </w:pPr>
      <w:r>
        <w:rPr>
          <w:rFonts w:hint="eastAsia"/>
          <w:b/>
          <w:bCs/>
          <w:sz w:val="28"/>
        </w:rPr>
        <w:t>引进优质央企和外地企业。</w:t>
      </w:r>
      <w:r>
        <w:rPr>
          <w:sz w:val="28"/>
        </w:rPr>
        <w:t>持续优化营商环境，吸引外省市优质建筑业企业落户我市，</w:t>
      </w:r>
      <w:r>
        <w:rPr>
          <w:rFonts w:hint="eastAsia"/>
          <w:sz w:val="28"/>
        </w:rPr>
        <w:t>尤其是抢抓承接非首都功能转移的机遇；打造一批建筑业企业的承接标杆，给予落户我市的建筑业企业平等待遇，做好企业服务，为我市建筑业发展注入新动能；鼓励大型央企、外地企业与本市企业结对子，联合承包工程，留住先进技术经验和管理经验，提升我市建筑业发展质量</w:t>
      </w:r>
      <w:r>
        <w:rPr>
          <w:sz w:val="28"/>
        </w:rPr>
        <w:t>。</w:t>
      </w:r>
    </w:p>
    <w:p w14:paraId="097E7FF8">
      <w:pPr>
        <w:pStyle w:val="4"/>
        <w:spacing w:before="120" w:after="120" w:line="326" w:lineRule="auto"/>
        <w:contextualSpacing/>
      </w:pPr>
      <w:bookmarkStart w:id="27" w:name="_Toc63321819"/>
      <w:r>
        <w:t>（</w:t>
      </w:r>
      <w:r>
        <w:rPr>
          <w:rFonts w:hint="eastAsia"/>
        </w:rPr>
        <w:t>二</w:t>
      </w:r>
      <w:r>
        <w:t xml:space="preserve">） </w:t>
      </w:r>
      <w:r>
        <w:rPr>
          <w:rFonts w:hint="eastAsia"/>
        </w:rPr>
        <w:t>继续开拓外埠市场，参与“一带一路”建设</w:t>
      </w:r>
      <w:bookmarkEnd w:id="27"/>
    </w:p>
    <w:p w14:paraId="54FFFDA5">
      <w:pPr>
        <w:snapToGrid w:val="0"/>
        <w:spacing w:line="32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打造天津建造品牌。</w:t>
      </w:r>
      <w:r>
        <w:rPr>
          <w:rFonts w:hint="eastAsia" w:ascii="宋体" w:hAnsi="宋体" w:eastAsia="宋体"/>
          <w:color w:val="000000"/>
          <w:sz w:val="28"/>
          <w:szCs w:val="28"/>
        </w:rPr>
        <w:t>针对我市建筑业外向性明显的特点，加大</w:t>
      </w:r>
      <w:r>
        <w:rPr>
          <w:rFonts w:ascii="宋体" w:hAnsi="宋体" w:eastAsia="宋体"/>
          <w:color w:val="000000"/>
          <w:sz w:val="28"/>
          <w:szCs w:val="28"/>
        </w:rPr>
        <w:t>引导本市企业开拓外埠业务和境外业务</w:t>
      </w:r>
      <w:r>
        <w:rPr>
          <w:rFonts w:hint="eastAsia" w:ascii="宋体" w:hAnsi="宋体" w:eastAsia="宋体"/>
          <w:color w:val="000000"/>
          <w:sz w:val="28"/>
          <w:szCs w:val="28"/>
        </w:rPr>
        <w:t>的力度</w:t>
      </w:r>
      <w:r>
        <w:rPr>
          <w:rFonts w:ascii="宋体" w:hAnsi="宋体" w:eastAsia="宋体"/>
          <w:color w:val="000000"/>
          <w:sz w:val="28"/>
          <w:szCs w:val="28"/>
        </w:rPr>
        <w:t>。</w:t>
      </w:r>
      <w:r>
        <w:rPr>
          <w:rFonts w:hint="eastAsia" w:ascii="宋体" w:hAnsi="宋体" w:eastAsia="宋体"/>
          <w:color w:val="000000"/>
          <w:sz w:val="28"/>
          <w:szCs w:val="28"/>
        </w:rPr>
        <w:t>跟踪企业在外埠市场的发展情况，注重提升建造品质和企业口碑，打造“天津建造”品牌，把外埠市场当作我市建筑业的主要增长点。充分发挥政府驻外办事机构的力量，与各地方构建区域间的协作关系，尤其是抓住“十四五”期间雄安新区基础设施建设需求巨大的机遇，鼓励我市建筑企业深度参与雄安新区建设。政府牵头通过多种渠道推介我市优秀建筑业企业，行业协会牵头打造企业合作平台，整合信息与资源，鼓励我市建筑企业组团拓展外埠市场。</w:t>
      </w:r>
    </w:p>
    <w:p w14:paraId="7BB297C0">
      <w:pPr>
        <w:snapToGrid w:val="0"/>
        <w:spacing w:line="32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积极参与“一带一路”建设。</w:t>
      </w:r>
      <w:r>
        <w:rPr>
          <w:rFonts w:ascii="宋体" w:hAnsi="宋体" w:eastAsia="宋体"/>
          <w:color w:val="000000"/>
          <w:sz w:val="28"/>
          <w:szCs w:val="28"/>
        </w:rPr>
        <w:t>鼓励企业</w:t>
      </w:r>
      <w:r>
        <w:rPr>
          <w:rFonts w:hint="eastAsia" w:ascii="宋体" w:hAnsi="宋体" w:eastAsia="宋体"/>
          <w:color w:val="000000"/>
          <w:sz w:val="28"/>
          <w:szCs w:val="28"/>
        </w:rPr>
        <w:t>主动对接</w:t>
      </w:r>
      <w:r>
        <w:rPr>
          <w:rFonts w:ascii="宋体" w:hAnsi="宋体" w:eastAsia="宋体"/>
          <w:color w:val="000000"/>
          <w:sz w:val="28"/>
          <w:szCs w:val="28"/>
        </w:rPr>
        <w:t>国内外大型</w:t>
      </w:r>
      <w:r>
        <w:rPr>
          <w:rFonts w:hint="eastAsia" w:ascii="宋体" w:hAnsi="宋体" w:eastAsia="宋体"/>
          <w:color w:val="000000"/>
          <w:sz w:val="28"/>
          <w:szCs w:val="28"/>
        </w:rPr>
        <w:t>国际工程投资者和承包商</w:t>
      </w:r>
      <w:r>
        <w:rPr>
          <w:rFonts w:ascii="宋体" w:hAnsi="宋体" w:eastAsia="宋体"/>
          <w:color w:val="000000"/>
          <w:sz w:val="28"/>
          <w:szCs w:val="28"/>
        </w:rPr>
        <w:t>，围绕重点区域、重点专业领域和重点工程项目</w:t>
      </w:r>
      <w:r>
        <w:rPr>
          <w:rFonts w:hint="eastAsia" w:ascii="宋体" w:hAnsi="宋体" w:eastAsia="宋体"/>
          <w:color w:val="000000"/>
          <w:sz w:val="28"/>
          <w:szCs w:val="28"/>
        </w:rPr>
        <w:t>拓展国际市场</w:t>
      </w:r>
      <w:r>
        <w:rPr>
          <w:rFonts w:ascii="宋体" w:hAnsi="宋体" w:eastAsia="宋体"/>
          <w:color w:val="000000"/>
          <w:sz w:val="28"/>
          <w:szCs w:val="28"/>
        </w:rPr>
        <w:t>，</w:t>
      </w:r>
      <w:r>
        <w:rPr>
          <w:rFonts w:hint="eastAsia" w:ascii="宋体" w:hAnsi="宋体" w:eastAsia="宋体"/>
          <w:color w:val="000000"/>
          <w:sz w:val="28"/>
          <w:szCs w:val="28"/>
        </w:rPr>
        <w:t>摸索国际工程承包经验，为我市建筑业中长期发展奠定基础</w:t>
      </w:r>
      <w:r>
        <w:rPr>
          <w:rFonts w:ascii="宋体" w:hAnsi="宋体" w:eastAsia="宋体"/>
          <w:color w:val="000000"/>
          <w:sz w:val="28"/>
          <w:szCs w:val="28"/>
        </w:rPr>
        <w:t>。</w:t>
      </w:r>
    </w:p>
    <w:p w14:paraId="0D74A7C6">
      <w:pPr>
        <w:pStyle w:val="4"/>
        <w:spacing w:before="120" w:after="120" w:line="326" w:lineRule="auto"/>
        <w:rPr>
          <w:b w:val="0"/>
        </w:rPr>
      </w:pPr>
      <w:bookmarkStart w:id="28" w:name="_Toc63321820"/>
      <w:r>
        <w:t>（</w:t>
      </w:r>
      <w:r>
        <w:rPr>
          <w:rFonts w:hint="eastAsia"/>
        </w:rPr>
        <w:t>三</w:t>
      </w:r>
      <w:r>
        <w:t xml:space="preserve">） </w:t>
      </w:r>
      <w:r>
        <w:rPr>
          <w:rFonts w:hint="eastAsia"/>
        </w:rPr>
        <w:t>引导建筑业产业链融合</w:t>
      </w:r>
      <w:bookmarkEnd w:id="28"/>
    </w:p>
    <w:p w14:paraId="4F5516B1">
      <w:pPr>
        <w:snapToGrid w:val="0"/>
        <w:spacing w:line="326" w:lineRule="auto"/>
        <w:ind w:firstLine="562" w:firstLineChars="200"/>
        <w:rPr>
          <w:rFonts w:ascii="宋体" w:hAnsi="宋体" w:eastAsia="宋体"/>
          <w:sz w:val="28"/>
          <w:szCs w:val="28"/>
        </w:rPr>
      </w:pPr>
      <w:r>
        <w:rPr>
          <w:rFonts w:hint="eastAsia" w:ascii="宋体" w:hAnsi="宋体" w:eastAsia="宋体"/>
          <w:b/>
          <w:bCs/>
          <w:sz w:val="28"/>
          <w:szCs w:val="28"/>
        </w:rPr>
        <w:t>引导建筑企业增强全过程服务能力。</w:t>
      </w:r>
      <w:r>
        <w:rPr>
          <w:rFonts w:hint="eastAsia" w:ascii="宋体" w:hAnsi="宋体" w:eastAsia="宋体"/>
          <w:sz w:val="28"/>
          <w:szCs w:val="28"/>
        </w:rPr>
        <w:t>整合设计、施工、运维三大业务板块，降低不同业务衔接的成本，适应工程建设组织模式集成化发展的需要。</w:t>
      </w:r>
    </w:p>
    <w:p w14:paraId="0E54743F">
      <w:pPr>
        <w:snapToGrid w:val="0"/>
        <w:spacing w:line="326" w:lineRule="auto"/>
        <w:ind w:firstLine="562" w:firstLineChars="200"/>
        <w:rPr>
          <w:rFonts w:ascii="宋体" w:hAnsi="宋体" w:eastAsia="宋体"/>
          <w:sz w:val="28"/>
          <w:szCs w:val="28"/>
        </w:rPr>
      </w:pPr>
      <w:r>
        <w:rPr>
          <w:rFonts w:hint="eastAsia" w:ascii="宋体" w:hAnsi="宋体" w:eastAsia="宋体"/>
          <w:b/>
          <w:bCs/>
          <w:sz w:val="28"/>
          <w:szCs w:val="28"/>
        </w:rPr>
        <w:t>引导企业业务多元化发展。</w:t>
      </w:r>
      <w:r>
        <w:rPr>
          <w:rFonts w:hint="eastAsia" w:ascii="宋体" w:hAnsi="宋体" w:eastAsia="宋体"/>
          <w:sz w:val="28"/>
          <w:szCs w:val="28"/>
        </w:rPr>
        <w:t>根据新型城镇化的要求，积极拓展市场潜力巨大的生态环保项目、城市更新项目、农村基础设施升级改造项目，积极参与装配式建筑产业基地、智慧城市建设、装饰装修等上下游产业，使企业多点盈利，降低经营风险。</w:t>
      </w:r>
    </w:p>
    <w:p w14:paraId="58FC5699">
      <w:pPr>
        <w:snapToGrid w:val="0"/>
        <w:spacing w:line="326" w:lineRule="auto"/>
        <w:ind w:firstLine="562" w:firstLineChars="200"/>
        <w:rPr>
          <w:rFonts w:ascii="宋体" w:hAnsi="宋体" w:eastAsia="宋体"/>
          <w:sz w:val="28"/>
          <w:szCs w:val="28"/>
        </w:rPr>
      </w:pPr>
      <w:r>
        <w:rPr>
          <w:rFonts w:ascii="宋体" w:hAnsi="宋体" w:eastAsia="宋体"/>
          <w:b/>
          <w:bCs/>
          <w:sz w:val="28"/>
          <w:szCs w:val="28"/>
        </w:rPr>
        <w:t>引导</w:t>
      </w:r>
      <w:r>
        <w:rPr>
          <w:rFonts w:hint="eastAsia" w:ascii="宋体" w:hAnsi="宋体" w:eastAsia="宋体"/>
          <w:b/>
          <w:bCs/>
          <w:sz w:val="28"/>
          <w:szCs w:val="28"/>
        </w:rPr>
        <w:t>企业参与城市市场化运营。</w:t>
      </w:r>
      <w:r>
        <w:rPr>
          <w:rFonts w:hint="eastAsia" w:ascii="宋体" w:hAnsi="宋体" w:eastAsia="宋体"/>
          <w:sz w:val="28"/>
          <w:szCs w:val="28"/>
        </w:rPr>
        <w:t>促进部分建筑业企业向“城市投资商”、“城市运营商”转型，增强企业市场开拓能力与盈利能力。</w:t>
      </w:r>
      <w:r>
        <w:rPr>
          <w:rFonts w:ascii="宋体" w:hAnsi="宋体" w:eastAsia="宋体"/>
          <w:sz w:val="28"/>
          <w:szCs w:val="28"/>
        </w:rPr>
        <w:t>鼓励我市优质基础设施项目采用PPP模式建设。</w:t>
      </w:r>
    </w:p>
    <w:p w14:paraId="639310E2">
      <w:pPr>
        <w:snapToGrid w:val="0"/>
        <w:spacing w:line="326" w:lineRule="auto"/>
        <w:ind w:firstLine="562" w:firstLineChars="200"/>
        <w:rPr>
          <w:rFonts w:ascii="宋体" w:hAnsi="宋体" w:eastAsia="宋体"/>
          <w:sz w:val="28"/>
          <w:szCs w:val="28"/>
        </w:rPr>
      </w:pPr>
      <w:r>
        <w:rPr>
          <w:rFonts w:hint="eastAsia" w:ascii="宋体" w:hAnsi="宋体" w:eastAsia="宋体"/>
          <w:b/>
          <w:bCs/>
          <w:sz w:val="28"/>
          <w:szCs w:val="28"/>
        </w:rPr>
        <w:t>做好“建筑+金融”布局。</w:t>
      </w:r>
      <w:r>
        <w:rPr>
          <w:rFonts w:hint="eastAsia" w:ascii="宋体" w:hAnsi="宋体" w:eastAsia="宋体"/>
          <w:sz w:val="28"/>
          <w:szCs w:val="28"/>
        </w:rPr>
        <w:t>积极引导建筑业企业利用好资本市场，参与REITs、融资租赁等新型融资模式，提升建筑业企业融资能力。</w:t>
      </w:r>
    </w:p>
    <w:p w14:paraId="1BFB9E1F">
      <w:pPr>
        <w:pStyle w:val="4"/>
        <w:spacing w:before="120" w:after="120" w:line="520" w:lineRule="exact"/>
        <w:contextualSpacing/>
        <w:rPr>
          <w:b w:val="0"/>
        </w:rPr>
      </w:pPr>
      <w:bookmarkStart w:id="29" w:name="_Toc63321821"/>
      <w:r>
        <w:t>（</w:t>
      </w:r>
      <w:r>
        <w:rPr>
          <w:rFonts w:hint="eastAsia"/>
        </w:rPr>
        <w:t>四</w:t>
      </w:r>
      <w:r>
        <w:t xml:space="preserve">） </w:t>
      </w:r>
      <w:r>
        <w:rPr>
          <w:rFonts w:hint="eastAsia"/>
        </w:rPr>
        <w:t>引导造价、监理等建筑服务行业转型升级</w:t>
      </w:r>
      <w:bookmarkEnd w:id="29"/>
    </w:p>
    <w:p w14:paraId="1EEDD3F2">
      <w:pPr>
        <w:snapToGrid w:val="0"/>
        <w:spacing w:line="520" w:lineRule="exact"/>
        <w:ind w:firstLine="562" w:firstLineChars="200"/>
        <w:rPr>
          <w:rFonts w:ascii="宋体" w:hAnsi="宋体" w:eastAsia="宋体"/>
          <w:sz w:val="28"/>
          <w:szCs w:val="28"/>
        </w:rPr>
      </w:pPr>
      <w:r>
        <w:rPr>
          <w:rFonts w:hint="eastAsia" w:ascii="宋体" w:hAnsi="宋体" w:eastAsia="宋体"/>
          <w:b/>
          <w:bCs/>
          <w:sz w:val="28"/>
          <w:szCs w:val="28"/>
        </w:rPr>
        <w:t>做好</w:t>
      </w:r>
      <w:r>
        <w:rPr>
          <w:rFonts w:ascii="宋体" w:hAnsi="宋体" w:eastAsia="宋体"/>
          <w:b/>
          <w:bCs/>
          <w:sz w:val="28"/>
          <w:szCs w:val="28"/>
        </w:rPr>
        <w:t>全过程工程咨询</w:t>
      </w:r>
      <w:r>
        <w:rPr>
          <w:rFonts w:hint="eastAsia" w:ascii="宋体" w:hAnsi="宋体" w:eastAsia="宋体"/>
          <w:b/>
          <w:bCs/>
          <w:sz w:val="28"/>
          <w:szCs w:val="28"/>
        </w:rPr>
        <w:t>的推进。</w:t>
      </w:r>
      <w:r>
        <w:rPr>
          <w:rFonts w:hint="eastAsia" w:ascii="宋体" w:hAnsi="宋体" w:eastAsia="宋体"/>
          <w:sz w:val="28"/>
          <w:szCs w:val="28"/>
        </w:rPr>
        <w:t>研究</w:t>
      </w:r>
      <w:r>
        <w:rPr>
          <w:rFonts w:ascii="宋体" w:hAnsi="宋体" w:eastAsia="宋体"/>
          <w:sz w:val="28"/>
          <w:szCs w:val="28"/>
        </w:rPr>
        <w:t>实施细则</w:t>
      </w:r>
      <w:r>
        <w:rPr>
          <w:rFonts w:hint="eastAsia" w:ascii="宋体" w:hAnsi="宋体" w:eastAsia="宋体"/>
          <w:sz w:val="28"/>
          <w:szCs w:val="28"/>
        </w:rPr>
        <w:t>，</w:t>
      </w:r>
      <w:r>
        <w:rPr>
          <w:rFonts w:ascii="宋体" w:hAnsi="宋体" w:eastAsia="宋体"/>
          <w:sz w:val="28"/>
          <w:szCs w:val="28"/>
        </w:rPr>
        <w:t>研究并推行标准合同文本。配合总承包模式推广工作，开展</w:t>
      </w:r>
      <w:r>
        <w:rPr>
          <w:rFonts w:hint="eastAsia" w:ascii="宋体" w:hAnsi="宋体" w:eastAsia="宋体"/>
          <w:sz w:val="28"/>
          <w:szCs w:val="28"/>
        </w:rPr>
        <w:t>全过程工程咨询试点</w:t>
      </w:r>
      <w:r>
        <w:rPr>
          <w:rFonts w:ascii="宋体" w:hAnsi="宋体" w:eastAsia="宋体"/>
          <w:sz w:val="28"/>
          <w:szCs w:val="28"/>
        </w:rPr>
        <w:t>，挖掘市场需求。</w:t>
      </w:r>
      <w:r>
        <w:rPr>
          <w:rFonts w:hint="eastAsia" w:ascii="宋体" w:hAnsi="宋体" w:eastAsia="宋体"/>
          <w:sz w:val="28"/>
          <w:szCs w:val="28"/>
        </w:rPr>
        <w:t>引导造价咨询、监理、招标代理企业整合，积极应用B</w:t>
      </w:r>
      <w:r>
        <w:rPr>
          <w:rFonts w:ascii="宋体" w:hAnsi="宋体" w:eastAsia="宋体"/>
          <w:sz w:val="28"/>
          <w:szCs w:val="28"/>
        </w:rPr>
        <w:t>IM</w:t>
      </w:r>
      <w:r>
        <w:rPr>
          <w:rFonts w:hint="eastAsia" w:ascii="宋体" w:hAnsi="宋体" w:eastAsia="宋体"/>
          <w:sz w:val="28"/>
          <w:szCs w:val="28"/>
        </w:rPr>
        <w:t>、大数据等信息技术，增强全过程工程咨询能力，</w:t>
      </w:r>
      <w:r>
        <w:rPr>
          <w:rFonts w:ascii="宋体" w:hAnsi="宋体" w:eastAsia="宋体"/>
          <w:sz w:val="28"/>
          <w:szCs w:val="28"/>
        </w:rPr>
        <w:t>提高咨询服务价值</w:t>
      </w:r>
      <w:r>
        <w:rPr>
          <w:rFonts w:hint="eastAsia" w:ascii="宋体" w:hAnsi="宋体" w:eastAsia="宋体"/>
          <w:sz w:val="28"/>
          <w:szCs w:val="28"/>
        </w:rPr>
        <w:t>。</w:t>
      </w:r>
    </w:p>
    <w:p w14:paraId="24E8A5BC">
      <w:pPr>
        <w:snapToGrid w:val="0"/>
        <w:spacing w:line="520" w:lineRule="exact"/>
        <w:ind w:firstLine="562" w:firstLineChars="200"/>
        <w:rPr>
          <w:rFonts w:ascii="宋体" w:hAnsi="宋体" w:eastAsia="宋体"/>
          <w:sz w:val="28"/>
          <w:szCs w:val="28"/>
        </w:rPr>
      </w:pPr>
      <w:r>
        <w:rPr>
          <w:rFonts w:hint="eastAsia" w:ascii="宋体" w:hAnsi="宋体" w:eastAsia="宋体"/>
          <w:b/>
          <w:bCs/>
          <w:sz w:val="28"/>
          <w:szCs w:val="28"/>
        </w:rPr>
        <w:t>提升工程咨询企业服务水平。</w:t>
      </w:r>
      <w:r>
        <w:rPr>
          <w:rFonts w:hint="eastAsia" w:ascii="宋体" w:hAnsi="宋体" w:eastAsia="宋体"/>
          <w:sz w:val="28"/>
          <w:szCs w:val="28"/>
        </w:rPr>
        <w:t>关注建筑服务行业的核心——“人”的作用，引导建筑服务行业提升人才待遇，吸引更多高素质人才，做好人员培训，提高行业队伍的整体素质，提高人均产值。加强行业诚信建设，结合我市创建“设计之都”的工作，塑造我市建筑服务行业品牌，引导企业将业务拓展到全国各地。</w:t>
      </w:r>
    </w:p>
    <w:p w14:paraId="420A4C80">
      <w:pPr>
        <w:pStyle w:val="3"/>
        <w:numPr>
          <w:ilvl w:val="0"/>
          <w:numId w:val="2"/>
        </w:numPr>
        <w:spacing w:line="520" w:lineRule="exact"/>
        <w:rPr>
          <w:b/>
          <w:bCs w:val="0"/>
        </w:rPr>
      </w:pPr>
      <w:bookmarkStart w:id="30" w:name="_Toc63321822"/>
      <w:r>
        <w:rPr>
          <w:rFonts w:hint="eastAsia"/>
          <w:b/>
          <w:bCs w:val="0"/>
        </w:rPr>
        <w:t>推行“先进建造”计划，加快工程组织模式改革</w:t>
      </w:r>
      <w:bookmarkEnd w:id="30"/>
    </w:p>
    <w:p w14:paraId="56FE460A">
      <w:pPr>
        <w:spacing w:line="520" w:lineRule="exact"/>
        <w:ind w:firstLine="562" w:firstLineChars="200"/>
        <w:rPr>
          <w:sz w:val="28"/>
        </w:rPr>
      </w:pPr>
      <w:r>
        <w:rPr>
          <w:rFonts w:hint="eastAsia"/>
          <w:b/>
          <w:sz w:val="28"/>
        </w:rPr>
        <w:t>先进技术与管理方式是行业高质量发展的手段。</w:t>
      </w:r>
      <w:r>
        <w:rPr>
          <w:rFonts w:hint="eastAsia"/>
          <w:sz w:val="28"/>
        </w:rPr>
        <w:t>“先进建造”即以新技术与新理念为依托，通过提升智能建造、装配式建造、绿色建造的技术应用水平，加快工程组织模式集成化发展，并与制造业、信息产业等行业相互渗透、融合和裂变，</w:t>
      </w:r>
      <w:r>
        <w:rPr>
          <w:sz w:val="28"/>
        </w:rPr>
        <w:t>从而实现建筑业转型升级</w:t>
      </w:r>
      <w:r>
        <w:rPr>
          <w:rFonts w:hint="eastAsia"/>
          <w:sz w:val="28"/>
        </w:rPr>
        <w:t>。</w:t>
      </w:r>
    </w:p>
    <w:p w14:paraId="2025A46B">
      <w:pPr>
        <w:pStyle w:val="4"/>
        <w:spacing w:line="520" w:lineRule="exact"/>
      </w:pPr>
      <w:bookmarkStart w:id="31" w:name="_Toc63321823"/>
      <w:r>
        <w:t>（</w:t>
      </w:r>
      <w:r>
        <w:rPr>
          <w:rFonts w:hint="eastAsia"/>
        </w:rPr>
        <w:t>一</w:t>
      </w:r>
      <w:r>
        <w:t xml:space="preserve">） </w:t>
      </w:r>
      <w:r>
        <w:rPr>
          <w:rFonts w:hint="eastAsia"/>
        </w:rPr>
        <w:t>抢抓建筑信息化和工业化发展机遇，推行“先进建造”计划</w:t>
      </w:r>
      <w:bookmarkEnd w:id="31"/>
    </w:p>
    <w:p w14:paraId="5F214F25">
      <w:pPr>
        <w:snapToGrid w:val="0"/>
        <w:spacing w:line="52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推行“先进建造”计划，</w:t>
      </w:r>
      <w:r>
        <w:rPr>
          <w:rFonts w:hint="eastAsia" w:ascii="宋体" w:hAnsi="宋体" w:eastAsia="宋体"/>
          <w:color w:val="000000"/>
          <w:sz w:val="28"/>
          <w:szCs w:val="28"/>
        </w:rPr>
        <w:t>利用我市先进制造基地定位的优势，广泛吸收数字化发展成果；深化建筑业供给侧结构性改革和需求侧管理，加快建筑产业现代化建设，加大装配式建造的推广力度；加快</w:t>
      </w:r>
      <w:r>
        <w:rPr>
          <w:rFonts w:ascii="宋体" w:hAnsi="宋体" w:eastAsia="宋体"/>
          <w:color w:val="000000"/>
          <w:sz w:val="28"/>
          <w:szCs w:val="28"/>
        </w:rPr>
        <w:t>推进智能建造，提高信息化应用水平。</w:t>
      </w:r>
    </w:p>
    <w:p w14:paraId="1BE63A13">
      <w:pPr>
        <w:snapToGrid w:val="0"/>
        <w:spacing w:line="52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以信息化推动集成化建造管理</w:t>
      </w:r>
      <w:r>
        <w:rPr>
          <w:rFonts w:hint="eastAsia" w:ascii="宋体" w:hAnsi="宋体" w:eastAsia="宋体"/>
          <w:color w:val="000000"/>
          <w:sz w:val="28"/>
          <w:szCs w:val="28"/>
        </w:rPr>
        <w:t>，在</w:t>
      </w:r>
      <w:r>
        <w:rPr>
          <w:rFonts w:ascii="宋体" w:hAnsi="宋体" w:eastAsia="宋体"/>
          <w:color w:val="000000"/>
          <w:sz w:val="28"/>
          <w:szCs w:val="28"/>
        </w:rPr>
        <w:t>研发设计、开发经营、生产施工和管理维护</w:t>
      </w:r>
      <w:r>
        <w:rPr>
          <w:rFonts w:hint="eastAsia" w:ascii="宋体" w:hAnsi="宋体" w:eastAsia="宋体"/>
          <w:color w:val="000000"/>
          <w:sz w:val="28"/>
          <w:szCs w:val="28"/>
        </w:rPr>
        <w:t>等全流程实现信息化。搭建智慧工地云平台，实现设计数字化、生产自动化、管理网络化、运营智能化、商务电子化、服务定制化及全流程集成创新。</w:t>
      </w:r>
    </w:p>
    <w:p w14:paraId="6A4EB980">
      <w:pPr>
        <w:snapToGrid w:val="0"/>
        <w:spacing w:line="360" w:lineRule="auto"/>
        <w:ind w:firstLine="562" w:firstLineChars="200"/>
        <w:rPr>
          <w:rFonts w:ascii="宋体" w:hAnsi="宋体" w:eastAsia="宋体"/>
          <w:color w:val="000000"/>
          <w:sz w:val="28"/>
          <w:szCs w:val="28"/>
        </w:rPr>
      </w:pPr>
      <w:r>
        <w:rPr>
          <w:rFonts w:ascii="宋体" w:hAnsi="宋体" w:eastAsia="宋体"/>
          <w:b/>
          <w:bCs/>
          <w:color w:val="000000"/>
          <w:sz w:val="28"/>
          <w:szCs w:val="28"/>
        </w:rPr>
        <w:t>鼓励企业</w:t>
      </w:r>
      <w:r>
        <w:rPr>
          <w:rFonts w:hint="eastAsia" w:ascii="宋体" w:hAnsi="宋体" w:eastAsia="宋体"/>
          <w:b/>
          <w:bCs/>
          <w:color w:val="000000"/>
          <w:sz w:val="28"/>
          <w:szCs w:val="28"/>
        </w:rPr>
        <w:t>加大对信息化工作的投入，</w:t>
      </w:r>
      <w:r>
        <w:rPr>
          <w:rFonts w:ascii="宋体" w:hAnsi="宋体" w:eastAsia="宋体"/>
          <w:color w:val="000000"/>
          <w:sz w:val="28"/>
          <w:szCs w:val="28"/>
        </w:rPr>
        <w:t>积极探索“互联网＋”形势下管理、生产的新模式，加大BIM技术、物联网等信息技术的研发、应用和推广力度。通过打造示范工程、标杆企业，提高各相关企业对智能建造、信息化建设的重视程度</w:t>
      </w:r>
      <w:r>
        <w:rPr>
          <w:rFonts w:hint="eastAsia" w:ascii="宋体" w:hAnsi="宋体" w:eastAsia="宋体"/>
          <w:color w:val="000000"/>
          <w:sz w:val="28"/>
          <w:szCs w:val="28"/>
        </w:rPr>
        <w:t>。</w:t>
      </w:r>
    </w:p>
    <w:p w14:paraId="692F5218">
      <w:pPr>
        <w:snapToGrid w:val="0"/>
        <w:spacing w:line="336" w:lineRule="auto"/>
        <w:ind w:firstLine="562" w:firstLineChars="200"/>
        <w:rPr>
          <w:rFonts w:ascii="宋体" w:hAnsi="宋体" w:eastAsia="宋体"/>
          <w:color w:val="000000"/>
          <w:sz w:val="28"/>
          <w:szCs w:val="28"/>
        </w:rPr>
      </w:pPr>
      <w:r>
        <w:rPr>
          <w:rFonts w:ascii="宋体" w:hAnsi="宋体" w:eastAsia="宋体"/>
          <w:b/>
          <w:bCs/>
          <w:color w:val="000000"/>
          <w:sz w:val="28"/>
          <w:szCs w:val="28"/>
        </w:rPr>
        <w:t>加强</w:t>
      </w:r>
      <w:r>
        <w:rPr>
          <w:rFonts w:hint="eastAsia" w:ascii="宋体" w:hAnsi="宋体" w:eastAsia="宋体"/>
          <w:b/>
          <w:bCs/>
          <w:color w:val="000000"/>
          <w:sz w:val="28"/>
          <w:szCs w:val="28"/>
        </w:rPr>
        <w:t>智能建造技术</w:t>
      </w:r>
      <w:r>
        <w:rPr>
          <w:rFonts w:ascii="宋体" w:hAnsi="宋体" w:eastAsia="宋体"/>
          <w:b/>
          <w:bCs/>
          <w:color w:val="000000"/>
          <w:sz w:val="28"/>
          <w:szCs w:val="28"/>
        </w:rPr>
        <w:t>标准体系建设</w:t>
      </w:r>
      <w:r>
        <w:rPr>
          <w:rFonts w:hint="eastAsia" w:ascii="宋体" w:hAnsi="宋体" w:eastAsia="宋体"/>
          <w:b/>
          <w:bCs/>
          <w:color w:val="000000"/>
          <w:sz w:val="28"/>
          <w:szCs w:val="28"/>
        </w:rPr>
        <w:t>，</w:t>
      </w:r>
      <w:r>
        <w:rPr>
          <w:rFonts w:ascii="宋体" w:hAnsi="宋体" w:eastAsia="宋体"/>
          <w:color w:val="000000"/>
          <w:sz w:val="28"/>
          <w:szCs w:val="28"/>
        </w:rPr>
        <w:t>结合我市建筑行业智能建造发展现状，研究制定基础性通用标准、计价定额和应用指南，</w:t>
      </w:r>
      <w:r>
        <w:rPr>
          <w:rFonts w:hint="eastAsia" w:ascii="宋体" w:hAnsi="宋体" w:eastAsia="宋体"/>
          <w:color w:val="000000"/>
          <w:sz w:val="28"/>
          <w:szCs w:val="28"/>
        </w:rPr>
        <w:t>加快智能建造的推广速度，提升我市企业在此次建筑技术革新中的竞争力</w:t>
      </w:r>
      <w:r>
        <w:rPr>
          <w:rFonts w:ascii="宋体" w:hAnsi="宋体" w:eastAsia="宋体"/>
          <w:color w:val="000000"/>
          <w:sz w:val="28"/>
          <w:szCs w:val="28"/>
        </w:rPr>
        <w:t>。</w:t>
      </w:r>
    </w:p>
    <w:p w14:paraId="576D4074">
      <w:pPr>
        <w:pStyle w:val="4"/>
        <w:spacing w:before="120" w:after="120" w:line="336" w:lineRule="auto"/>
      </w:pPr>
      <w:bookmarkStart w:id="32" w:name="_Toc63321824"/>
      <w:r>
        <w:t>（</w:t>
      </w:r>
      <w:r>
        <w:rPr>
          <w:rFonts w:hint="eastAsia"/>
        </w:rPr>
        <w:t>二</w:t>
      </w:r>
      <w:r>
        <w:t xml:space="preserve">） </w:t>
      </w:r>
      <w:r>
        <w:rPr>
          <w:rFonts w:hint="eastAsia"/>
        </w:rPr>
        <w:t>合理布局装配式建筑，完善产业链建设</w:t>
      </w:r>
      <w:bookmarkEnd w:id="32"/>
    </w:p>
    <w:p w14:paraId="154E84E6">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做好整体布局。</w:t>
      </w:r>
      <w:r>
        <w:rPr>
          <w:rFonts w:hint="eastAsia" w:ascii="宋体" w:hAnsi="宋体" w:eastAsia="宋体"/>
          <w:color w:val="000000"/>
          <w:sz w:val="28"/>
          <w:szCs w:val="28"/>
        </w:rPr>
        <w:t>对全市装配式建筑的生产、配送、技术标准推进做好统筹安排，从全局出发创建</w:t>
      </w:r>
      <w:r>
        <w:rPr>
          <w:rFonts w:ascii="宋体" w:hAnsi="宋体" w:eastAsia="宋体"/>
          <w:color w:val="000000"/>
          <w:sz w:val="28"/>
          <w:szCs w:val="28"/>
        </w:rPr>
        <w:t>产业基地、</w:t>
      </w:r>
      <w:r>
        <w:rPr>
          <w:rFonts w:hint="eastAsia" w:ascii="宋体" w:hAnsi="宋体" w:eastAsia="宋体"/>
          <w:color w:val="000000"/>
          <w:sz w:val="28"/>
          <w:szCs w:val="28"/>
        </w:rPr>
        <w:t>培育</w:t>
      </w:r>
      <w:r>
        <w:rPr>
          <w:rFonts w:ascii="宋体" w:hAnsi="宋体" w:eastAsia="宋体"/>
          <w:color w:val="000000"/>
          <w:sz w:val="28"/>
          <w:szCs w:val="28"/>
        </w:rPr>
        <w:t>龙头企业</w:t>
      </w:r>
      <w:r>
        <w:rPr>
          <w:rFonts w:hint="eastAsia" w:ascii="宋体" w:hAnsi="宋体" w:eastAsia="宋体"/>
          <w:color w:val="000000"/>
          <w:sz w:val="28"/>
          <w:szCs w:val="28"/>
        </w:rPr>
        <w:t>，评选示范项目，带动产业发展</w:t>
      </w:r>
      <w:r>
        <w:rPr>
          <w:rFonts w:ascii="宋体" w:hAnsi="宋体" w:eastAsia="宋体"/>
          <w:color w:val="000000"/>
          <w:sz w:val="28"/>
          <w:szCs w:val="28"/>
        </w:rPr>
        <w:t>。</w:t>
      </w:r>
    </w:p>
    <w:p w14:paraId="004D2E78">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建设产业平台。</w:t>
      </w:r>
      <w:r>
        <w:rPr>
          <w:rFonts w:ascii="宋体" w:hAnsi="宋体" w:eastAsia="宋体"/>
          <w:color w:val="000000"/>
          <w:sz w:val="28"/>
          <w:szCs w:val="28"/>
        </w:rPr>
        <w:t>打造装配式建造发展大平台，辐射带动节能环保建材、高端设备制造、信息技术等上下游产业发展，推动传统的建筑构配件、机械装备、部品部件生产、装饰厨卫、物流配送等企业优化升级，拓展产业发展空间。</w:t>
      </w:r>
    </w:p>
    <w:p w14:paraId="2BFC6CF0">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加大推广力度。</w:t>
      </w:r>
      <w:r>
        <w:rPr>
          <w:rFonts w:ascii="宋体" w:hAnsi="宋体" w:eastAsia="宋体"/>
          <w:color w:val="000000"/>
          <w:sz w:val="28"/>
          <w:szCs w:val="28"/>
        </w:rPr>
        <w:t>培育装配式建筑市场需求，消除市场对装配式建筑不恰当的认识</w:t>
      </w:r>
      <w:r>
        <w:rPr>
          <w:rFonts w:hint="eastAsia" w:ascii="宋体" w:hAnsi="宋体" w:eastAsia="宋体"/>
          <w:color w:val="000000"/>
          <w:sz w:val="28"/>
          <w:szCs w:val="28"/>
        </w:rPr>
        <w:t>；加大装配式建筑技术研发投入，</w:t>
      </w:r>
      <w:r>
        <w:rPr>
          <w:rFonts w:ascii="宋体" w:hAnsi="宋体" w:eastAsia="宋体"/>
          <w:color w:val="000000"/>
          <w:sz w:val="28"/>
          <w:szCs w:val="28"/>
        </w:rPr>
        <w:t>积极推进成熟技术标准转化，</w:t>
      </w:r>
      <w:r>
        <w:rPr>
          <w:rFonts w:hint="eastAsia" w:ascii="宋体" w:hAnsi="宋体" w:eastAsia="宋体"/>
          <w:color w:val="000000"/>
          <w:sz w:val="28"/>
          <w:szCs w:val="28"/>
        </w:rPr>
        <w:t>提升装配式建造质量和建造品质。</w:t>
      </w:r>
    </w:p>
    <w:p w14:paraId="0DEC07A3">
      <w:pPr>
        <w:pStyle w:val="4"/>
        <w:spacing w:before="120" w:after="120" w:line="336" w:lineRule="auto"/>
      </w:pPr>
      <w:bookmarkStart w:id="33" w:name="_Toc63321825"/>
      <w:r>
        <w:t xml:space="preserve">（三） </w:t>
      </w:r>
      <w:r>
        <w:rPr>
          <w:rFonts w:hint="eastAsia"/>
        </w:rPr>
        <w:t>巩固绿色建造优势，助力生态文明建设</w:t>
      </w:r>
      <w:bookmarkEnd w:id="33"/>
    </w:p>
    <w:p w14:paraId="32EDAEEA">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提升建筑业能源资源利用效率。</w:t>
      </w:r>
      <w:r>
        <w:rPr>
          <w:rFonts w:hint="eastAsia" w:ascii="宋体" w:hAnsi="宋体" w:eastAsia="宋体"/>
          <w:color w:val="000000"/>
          <w:sz w:val="28"/>
          <w:szCs w:val="28"/>
        </w:rPr>
        <w:t>进一步落实中央对生态文明建设的要求，坚持绿色发展理念，推动绿色低碳发展，持续改善环境质量，全面提高资源利用效率。我市绿色建筑发展一直走在全国前列，“十四五”期间将进一步提高建筑能效水平，为2030年碳排放达到峰值做出贡献。此外，加强建筑垃圾的分类、减量化处理和资源化利用。</w:t>
      </w:r>
    </w:p>
    <w:p w14:paraId="635C1169">
      <w:pPr>
        <w:snapToGrid w:val="0"/>
        <w:spacing w:line="336" w:lineRule="auto"/>
        <w:ind w:firstLine="562" w:firstLineChars="200"/>
        <w:rPr>
          <w:rFonts w:ascii="宋体" w:hAnsi="宋体" w:eastAsia="宋体" w:cs="仿宋_GB2312"/>
          <w:bCs/>
          <w:sz w:val="28"/>
          <w:szCs w:val="32"/>
          <w:lang w:bidi="ar"/>
        </w:rPr>
      </w:pPr>
      <w:r>
        <w:rPr>
          <w:rFonts w:hint="eastAsia" w:ascii="宋体" w:hAnsi="宋体" w:eastAsia="宋体"/>
          <w:b/>
          <w:bCs/>
          <w:color w:val="000000"/>
          <w:sz w:val="28"/>
          <w:szCs w:val="28"/>
        </w:rPr>
        <w:t>提升绿色建造水平。</w:t>
      </w:r>
      <w:r>
        <w:rPr>
          <w:rFonts w:hint="eastAsia" w:ascii="宋体" w:hAnsi="宋体" w:eastAsia="宋体"/>
          <w:color w:val="000000"/>
          <w:sz w:val="28"/>
          <w:szCs w:val="28"/>
        </w:rPr>
        <w:t>引导建筑业企业总结绿色建筑建造经验，积累技术经验，提升绿色建造水平，</w:t>
      </w:r>
      <w:r>
        <w:rPr>
          <w:rFonts w:hint="eastAsia" w:ascii="宋体" w:hAnsi="宋体" w:eastAsia="宋体" w:cs="仿宋_GB2312"/>
          <w:sz w:val="28"/>
          <w:szCs w:val="32"/>
        </w:rPr>
        <w:t>加强绿色建筑科研方面的合作与交流，重点开展应用研究，做好技术储备。以“先进建造”计划的推进为契机，利用装配式和数字化技术提升工程管理精细化水平，减少不必要的浪费。</w:t>
      </w:r>
      <w:r>
        <w:rPr>
          <w:rFonts w:hint="eastAsia" w:ascii="宋体" w:hAnsi="宋体" w:eastAsia="宋体" w:cs="仿宋_GB2312"/>
          <w:bCs/>
          <w:sz w:val="28"/>
          <w:szCs w:val="32"/>
          <w:lang w:bidi="ar"/>
        </w:rPr>
        <w:t>最终形成建造过程节水、节电、节材、节地、节能的长效机制</w:t>
      </w:r>
      <w:r>
        <w:rPr>
          <w:rFonts w:ascii="宋体" w:hAnsi="宋体" w:eastAsia="宋体" w:cs="仿宋_GB2312"/>
          <w:bCs/>
          <w:sz w:val="28"/>
          <w:szCs w:val="32"/>
          <w:lang w:bidi="ar"/>
        </w:rPr>
        <w:t>，</w:t>
      </w:r>
      <w:r>
        <w:rPr>
          <w:rFonts w:hint="eastAsia" w:ascii="宋体" w:hAnsi="宋体" w:eastAsia="宋体" w:cs="仿宋_GB2312"/>
          <w:bCs/>
          <w:sz w:val="28"/>
          <w:szCs w:val="32"/>
          <w:lang w:bidi="ar"/>
        </w:rPr>
        <w:t>实现项目</w:t>
      </w:r>
      <w:r>
        <w:rPr>
          <w:rFonts w:hint="eastAsia" w:cs="仿宋_GB2312" w:asciiTheme="minorEastAsia" w:hAnsiTheme="minorEastAsia"/>
          <w:sz w:val="28"/>
          <w:szCs w:val="32"/>
        </w:rPr>
        <w:t>高效益、高质量、低消耗、低排放。</w:t>
      </w:r>
    </w:p>
    <w:p w14:paraId="5E14D125">
      <w:pPr>
        <w:pStyle w:val="4"/>
        <w:spacing w:line="336" w:lineRule="auto"/>
      </w:pPr>
      <w:bookmarkStart w:id="34" w:name="_Toc63321826"/>
      <w:r>
        <w:t>（</w:t>
      </w:r>
      <w:r>
        <w:rPr>
          <w:rFonts w:hint="eastAsia"/>
        </w:rPr>
        <w:t>四</w:t>
      </w:r>
      <w:r>
        <w:t>）</w:t>
      </w:r>
      <w:r>
        <w:rPr>
          <w:rFonts w:hint="eastAsia"/>
        </w:rPr>
        <w:t xml:space="preserve"> 加快推广工程总承包模式，提升我市企业总承包能力</w:t>
      </w:r>
      <w:bookmarkEnd w:id="34"/>
    </w:p>
    <w:p w14:paraId="5FA856C6">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加大推广力度。</w:t>
      </w:r>
      <w:r>
        <w:rPr>
          <w:rFonts w:ascii="宋体" w:hAnsi="宋体" w:eastAsia="宋体"/>
          <w:color w:val="000000"/>
          <w:sz w:val="28"/>
          <w:szCs w:val="28"/>
        </w:rPr>
        <w:t>鼓励政府投资项目、装配式项目、应用建筑信息模型的项目优先采用工程总承包方式建设，</w:t>
      </w:r>
      <w:r>
        <w:rPr>
          <w:rFonts w:hint="eastAsia" w:ascii="宋体" w:hAnsi="宋体" w:eastAsia="宋体"/>
          <w:color w:val="000000"/>
          <w:sz w:val="28"/>
          <w:szCs w:val="28"/>
        </w:rPr>
        <w:t>到“十四五”末，政府投资工程采用工程总承包模式的比例超过</w:t>
      </w:r>
      <w:r>
        <w:rPr>
          <w:rFonts w:ascii="Times New Roman" w:hAnsi="Times New Roman" w:eastAsia="宋体" w:cs="Times New Roman"/>
          <w:color w:val="000000"/>
          <w:sz w:val="28"/>
          <w:szCs w:val="28"/>
        </w:rPr>
        <w:t>50%</w:t>
      </w:r>
      <w:r>
        <w:rPr>
          <w:rFonts w:hint="eastAsia" w:ascii="宋体" w:hAnsi="宋体" w:eastAsia="宋体"/>
          <w:color w:val="000000"/>
          <w:sz w:val="28"/>
          <w:szCs w:val="28"/>
        </w:rPr>
        <w:t>，装配式建筑全部采用总承包模式</w:t>
      </w:r>
      <w:r>
        <w:rPr>
          <w:rFonts w:ascii="宋体" w:hAnsi="宋体" w:eastAsia="宋体"/>
          <w:color w:val="000000"/>
          <w:sz w:val="28"/>
          <w:szCs w:val="28"/>
        </w:rPr>
        <w:t>。</w:t>
      </w:r>
    </w:p>
    <w:p w14:paraId="5815DE11">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完善配套政策。</w:t>
      </w:r>
      <w:r>
        <w:rPr>
          <w:rFonts w:hint="eastAsia" w:ascii="宋体" w:hAnsi="宋体" w:eastAsia="宋体"/>
          <w:color w:val="000000"/>
          <w:sz w:val="28"/>
          <w:szCs w:val="28"/>
        </w:rPr>
        <w:t>细化优化工程总承包管理办法，规范工程总承包招投标活动，加强工程总承包合同价格管理，强化工程总承包监督管理，完善工程总承包风险防范机制，解决工程总承包模式发展面临的机制和制度问题。</w:t>
      </w:r>
    </w:p>
    <w:p w14:paraId="59F520D8">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提升企业总承包能力。</w:t>
      </w:r>
      <w:r>
        <w:rPr>
          <w:rFonts w:hint="eastAsia" w:ascii="宋体" w:hAnsi="宋体" w:eastAsia="宋体"/>
          <w:color w:val="000000"/>
          <w:sz w:val="28"/>
          <w:szCs w:val="28"/>
        </w:rPr>
        <w:t>加强总承包单位的</w:t>
      </w:r>
      <w:r>
        <w:rPr>
          <w:rFonts w:ascii="宋体" w:hAnsi="宋体" w:eastAsia="宋体"/>
          <w:color w:val="000000"/>
          <w:sz w:val="28"/>
          <w:szCs w:val="28"/>
        </w:rPr>
        <w:t>设计施工综合管理能力，健全管理体系，</w:t>
      </w:r>
      <w:r>
        <w:rPr>
          <w:rFonts w:hint="eastAsia" w:ascii="宋体" w:hAnsi="宋体" w:eastAsia="宋体"/>
          <w:color w:val="000000"/>
          <w:sz w:val="28"/>
          <w:szCs w:val="28"/>
        </w:rPr>
        <w:t>促进设计与施工企业整合</w:t>
      </w:r>
      <w:r>
        <w:rPr>
          <w:rFonts w:ascii="宋体" w:hAnsi="宋体" w:eastAsia="宋体"/>
          <w:color w:val="000000"/>
          <w:sz w:val="28"/>
          <w:szCs w:val="28"/>
        </w:rPr>
        <w:t>。</w:t>
      </w:r>
      <w:r>
        <w:rPr>
          <w:rFonts w:hint="eastAsia" w:ascii="宋体" w:hAnsi="宋体" w:eastAsia="宋体"/>
          <w:color w:val="000000"/>
          <w:sz w:val="28"/>
          <w:szCs w:val="28"/>
        </w:rPr>
        <w:t>结合“先进建造”计划的实施，加快培育有智能建造系统解决方案的工程总承包企业，统筹建筑业全产业链发展，推动企业以多种形式紧密合作、协同创新，逐步形成以工程总承包企业为核心、专业企业深度参与的开放型产业体系。鼓励企业建立工程总承包项目多方协同的智能建造工作平台，强化智能建造上下游协同工作，促进形成涵盖设计、生产、施工、技术服务的产业链，提升本市企业工程总承包的整体实力。</w:t>
      </w:r>
    </w:p>
    <w:p w14:paraId="2BF9E32D">
      <w:pPr>
        <w:pStyle w:val="4"/>
        <w:spacing w:line="336" w:lineRule="auto"/>
      </w:pPr>
      <w:bookmarkStart w:id="35" w:name="_Toc63321827"/>
      <w:r>
        <w:t>（</w:t>
      </w:r>
      <w:r>
        <w:rPr>
          <w:rFonts w:hint="eastAsia"/>
        </w:rPr>
        <w:t>五</w:t>
      </w:r>
      <w:r>
        <w:t>）</w:t>
      </w:r>
      <w:r>
        <w:rPr>
          <w:rFonts w:hint="eastAsia"/>
        </w:rPr>
        <w:t xml:space="preserve"> 加快技术转化，创新引领发展</w:t>
      </w:r>
      <w:bookmarkEnd w:id="35"/>
    </w:p>
    <w:p w14:paraId="2C8CED9F">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加强新领域技术研发。</w:t>
      </w:r>
      <w:r>
        <w:rPr>
          <w:rFonts w:hint="eastAsia" w:ascii="宋体" w:hAnsi="宋体" w:eastAsia="宋体"/>
          <w:color w:val="000000"/>
          <w:sz w:val="28"/>
          <w:szCs w:val="28"/>
        </w:rPr>
        <w:t>坚持创新驱动建筑业高质量发展，聚焦绿色建筑、装配式建筑、海绵城市、城市更新、垃圾资源化利用、新基建等重点领域，形成一批具有前瞻性、引领性、实用性的创新性建设领域新技术，推广应用一批新技术、新工艺、新材料、新产品，弘扬科学家精神和工匠精神，显著增强行业科技创新的供给和支撑能力。</w:t>
      </w:r>
    </w:p>
    <w:p w14:paraId="3584B00C">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加强技术推广。</w:t>
      </w:r>
      <w:r>
        <w:rPr>
          <w:rFonts w:hint="eastAsia" w:ascii="宋体" w:hAnsi="宋体" w:eastAsia="宋体"/>
          <w:color w:val="000000"/>
          <w:sz w:val="28"/>
          <w:szCs w:val="28"/>
        </w:rPr>
        <w:t>进一步加强建设领域新技术、示范工程、施工工法的征集及推广。发挥标准引领作用，完善工程建设标准，提高科技研发向技术标准的转化效率，与国际先进标准衔接。</w:t>
      </w:r>
    </w:p>
    <w:p w14:paraId="3E629A8B">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加强与高校对接。</w:t>
      </w:r>
      <w:r>
        <w:rPr>
          <w:rFonts w:hint="eastAsia" w:ascii="宋体" w:hAnsi="宋体" w:eastAsia="宋体"/>
          <w:color w:val="000000"/>
          <w:sz w:val="28"/>
          <w:szCs w:val="28"/>
        </w:rPr>
        <w:t>推进校企合作</w:t>
      </w:r>
      <w:r>
        <w:rPr>
          <w:rFonts w:ascii="宋体" w:hAnsi="宋体" w:eastAsia="宋体"/>
          <w:color w:val="000000"/>
          <w:sz w:val="28"/>
          <w:szCs w:val="28"/>
        </w:rPr>
        <w:t>，</w:t>
      </w:r>
      <w:r>
        <w:rPr>
          <w:rFonts w:hint="eastAsia" w:ascii="宋体" w:hAnsi="宋体" w:eastAsia="宋体"/>
          <w:color w:val="000000"/>
          <w:sz w:val="28"/>
          <w:szCs w:val="28"/>
        </w:rPr>
        <w:t>支持企业利用高校资源加强技术人才培养与技术成果转化。推进校政合作，在政策制定、人员培训、信息化建设等工作中主动与高校对接，在高校建立政府智库。</w:t>
      </w:r>
    </w:p>
    <w:p w14:paraId="08613FCE">
      <w:pPr>
        <w:pStyle w:val="4"/>
        <w:spacing w:before="120" w:after="120" w:line="336" w:lineRule="auto"/>
      </w:pPr>
      <w:bookmarkStart w:id="36" w:name="_Toc63321828"/>
      <w:r>
        <w:rPr>
          <w:rFonts w:hint="eastAsia"/>
        </w:rPr>
        <w:t>（六） 加快发展工程大数据</w:t>
      </w:r>
      <w:bookmarkEnd w:id="36"/>
      <w:r>
        <w:rPr>
          <w:rFonts w:hint="eastAsia"/>
        </w:rPr>
        <w:t xml:space="preserve"> </w:t>
      </w:r>
    </w:p>
    <w:p w14:paraId="15D9893F">
      <w:pPr>
        <w:snapToGrid w:val="0"/>
        <w:spacing w:line="336" w:lineRule="auto"/>
        <w:ind w:firstLine="562" w:firstLineChars="200"/>
        <w:rPr>
          <w:rFonts w:ascii="宋体" w:hAnsi="宋体" w:eastAsia="宋体"/>
          <w:sz w:val="28"/>
          <w:szCs w:val="28"/>
        </w:rPr>
      </w:pPr>
      <w:r>
        <w:rPr>
          <w:rFonts w:hint="eastAsia" w:ascii="宋体" w:hAnsi="宋体" w:eastAsia="宋体"/>
          <w:b/>
          <w:bCs/>
          <w:sz w:val="28"/>
          <w:szCs w:val="28"/>
        </w:rPr>
        <w:t>建立行业发展大数据平台。</w:t>
      </w:r>
      <w:r>
        <w:rPr>
          <w:rFonts w:hint="eastAsia" w:ascii="宋体" w:hAnsi="宋体" w:eastAsia="宋体"/>
          <w:sz w:val="28"/>
          <w:szCs w:val="28"/>
        </w:rPr>
        <w:t>逐步建立、整合、完善涵盖行业治理、企业管理、施工管理的工程大数据库，以工程项目为单位进行索引，包括工程环境数据、工程过程数据、工程要素数据和工程产品数据，数据内容包括工程市场、工程交易、过程管理、信用信息数据，工程机械、材料、工艺工法、从业人员数据，以及工程运营数据。作为“天津建造”的一张名片，无论是企业在津，还是走出去，为企业做好数据支撑，为“天津建造”做实品牌。此外，通过数据库的建立驱动行业协调和行业标准的建立。</w:t>
      </w:r>
    </w:p>
    <w:p w14:paraId="1724466E">
      <w:pPr>
        <w:snapToGrid w:val="0"/>
        <w:spacing w:line="336" w:lineRule="auto"/>
        <w:ind w:firstLine="562" w:firstLineChars="200"/>
        <w:rPr>
          <w:rFonts w:ascii="宋体" w:hAnsi="宋体" w:eastAsia="宋体"/>
          <w:sz w:val="28"/>
          <w:szCs w:val="28"/>
          <w:highlight w:val="lightGray"/>
        </w:rPr>
      </w:pPr>
      <w:r>
        <w:rPr>
          <w:rFonts w:hint="eastAsia" w:ascii="宋体" w:hAnsi="宋体" w:eastAsia="宋体"/>
          <w:b/>
          <w:bCs/>
          <w:sz w:val="28"/>
          <w:szCs w:val="28"/>
        </w:rPr>
        <w:t>建立行业监管大数据平台。</w:t>
      </w:r>
      <w:r>
        <w:rPr>
          <w:rFonts w:hint="eastAsia" w:ascii="宋体" w:hAnsi="宋体" w:eastAsia="宋体"/>
          <w:sz w:val="28"/>
          <w:szCs w:val="28"/>
        </w:rPr>
        <w:t>在“十四五”末实现从招投标、项目设计、施工许可、工程施工和监理、质量和安全监管、消防设计审查、工程竣工验收等环节的数据串联，实现一个入口、全程贯通，做到基础信息共享，不同阶段和环节可合可分。通过智慧工地建设加强现场信息采集力度，探索运用区块链等技术保障产业关键数据的准确性、可追溯性，协助政府穿透式监管，利用信息化提升建筑业监管效率水平。此外，做好大数据与智慧城市的对接，使项目建造信息在城市运营中得到有效应用。</w:t>
      </w:r>
    </w:p>
    <w:p w14:paraId="67CFACB2">
      <w:pPr>
        <w:pStyle w:val="3"/>
        <w:numPr>
          <w:ilvl w:val="0"/>
          <w:numId w:val="2"/>
        </w:numPr>
        <w:spacing w:line="336" w:lineRule="auto"/>
        <w:rPr>
          <w:b/>
          <w:bCs w:val="0"/>
        </w:rPr>
      </w:pPr>
      <w:bookmarkStart w:id="37" w:name="_Toc63321829"/>
      <w:r>
        <w:rPr>
          <w:rFonts w:hint="eastAsia"/>
          <w:b/>
          <w:bCs w:val="0"/>
        </w:rPr>
        <w:t>保障劳务工人权益，提升从业人员素质</w:t>
      </w:r>
      <w:bookmarkEnd w:id="37"/>
    </w:p>
    <w:p w14:paraId="56F5C843">
      <w:pPr>
        <w:spacing w:line="500" w:lineRule="exact"/>
        <w:ind w:firstLine="562" w:firstLineChars="200"/>
      </w:pPr>
      <w:r>
        <w:rPr>
          <w:rFonts w:hint="eastAsia"/>
          <w:b/>
          <w:sz w:val="28"/>
        </w:rPr>
        <w:t>高素质的从业者是行业高质量发展的依靠。</w:t>
      </w:r>
      <w:r>
        <w:rPr>
          <w:rFonts w:hint="eastAsia"/>
          <w:sz w:val="28"/>
        </w:rPr>
        <w:t>提升从业人员素质一方面要逐步建立稳定的工人队伍，加大从业者培养和培训力度；一方面要践行以人民为中心的发展思想，做好从业者权益保护，增强其长期贡献建筑业发展的意愿。</w:t>
      </w:r>
    </w:p>
    <w:p w14:paraId="25211F94">
      <w:pPr>
        <w:pStyle w:val="4"/>
        <w:spacing w:line="336" w:lineRule="auto"/>
      </w:pPr>
      <w:bookmarkStart w:id="38" w:name="_Toc63321830"/>
      <w:r>
        <w:t>（</w:t>
      </w:r>
      <w:r>
        <w:rPr>
          <w:rFonts w:hint="eastAsia"/>
        </w:rPr>
        <w:t>一</w:t>
      </w:r>
      <w:r>
        <w:t>） 推动建筑产业工人队伍培育工作</w:t>
      </w:r>
      <w:bookmarkEnd w:id="38"/>
    </w:p>
    <w:p w14:paraId="02C52E5C">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鼓励建设建筑工人培育基地。</w:t>
      </w:r>
      <w:r>
        <w:rPr>
          <w:rFonts w:hint="eastAsia" w:ascii="宋体" w:hAnsi="宋体" w:eastAsia="宋体"/>
          <w:color w:val="000000"/>
          <w:sz w:val="28"/>
          <w:szCs w:val="28"/>
        </w:rPr>
        <w:t>鼓励在装配式建筑构件生产企业、装饰装修企业、建筑安装企业、钢结构企业中选择试点推进产业工人培育项目</w:t>
      </w:r>
      <w:r>
        <w:rPr>
          <w:rFonts w:ascii="宋体" w:hAnsi="宋体" w:eastAsia="宋体"/>
          <w:color w:val="000000"/>
          <w:sz w:val="28"/>
          <w:szCs w:val="28"/>
        </w:rPr>
        <w:t>，</w:t>
      </w:r>
      <w:r>
        <w:rPr>
          <w:rFonts w:hint="eastAsia" w:ascii="宋体" w:hAnsi="宋体" w:eastAsia="宋体"/>
          <w:color w:val="000000"/>
          <w:sz w:val="28"/>
          <w:szCs w:val="28"/>
        </w:rPr>
        <w:t>试点</w:t>
      </w:r>
      <w:r>
        <w:rPr>
          <w:rFonts w:ascii="宋体" w:hAnsi="宋体" w:eastAsia="宋体"/>
          <w:color w:val="000000"/>
          <w:sz w:val="28"/>
          <w:szCs w:val="28"/>
        </w:rPr>
        <w:t>选择使用农民工较多的企业</w:t>
      </w:r>
      <w:r>
        <w:rPr>
          <w:rFonts w:hint="eastAsia" w:ascii="宋体" w:hAnsi="宋体" w:eastAsia="宋体"/>
          <w:color w:val="000000"/>
          <w:sz w:val="28"/>
          <w:szCs w:val="28"/>
        </w:rPr>
        <w:t>建立产业工人培育基地</w:t>
      </w:r>
      <w:r>
        <w:rPr>
          <w:rFonts w:ascii="宋体" w:hAnsi="宋体" w:eastAsia="宋体"/>
          <w:color w:val="000000"/>
          <w:sz w:val="28"/>
          <w:szCs w:val="28"/>
        </w:rPr>
        <w:t>，</w:t>
      </w:r>
      <w:r>
        <w:rPr>
          <w:rFonts w:hint="eastAsia" w:ascii="宋体" w:hAnsi="宋体" w:eastAsia="宋体"/>
          <w:color w:val="000000"/>
          <w:sz w:val="28"/>
          <w:szCs w:val="28"/>
        </w:rPr>
        <w:t>培育产教融合型企业，</w:t>
      </w:r>
      <w:r>
        <w:rPr>
          <w:rFonts w:ascii="宋体" w:hAnsi="宋体" w:eastAsia="宋体"/>
          <w:color w:val="000000"/>
          <w:sz w:val="28"/>
          <w:szCs w:val="28"/>
        </w:rPr>
        <w:t>推动“互联网+人力资源”服务平台</w:t>
      </w:r>
      <w:r>
        <w:rPr>
          <w:rFonts w:hint="eastAsia" w:ascii="宋体" w:hAnsi="宋体" w:eastAsia="宋体"/>
          <w:color w:val="000000"/>
          <w:sz w:val="28"/>
          <w:szCs w:val="28"/>
        </w:rPr>
        <w:t>建设，以培育基地为依托建立相对稳定的工人队伍</w:t>
      </w:r>
      <w:r>
        <w:rPr>
          <w:rFonts w:ascii="宋体" w:hAnsi="宋体" w:eastAsia="宋体"/>
          <w:color w:val="000000"/>
          <w:sz w:val="28"/>
          <w:szCs w:val="28"/>
        </w:rPr>
        <w:t>。</w:t>
      </w:r>
    </w:p>
    <w:p w14:paraId="61903EBC">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加快自有建筑工人队伍建设。</w:t>
      </w:r>
      <w:r>
        <w:rPr>
          <w:rFonts w:hint="eastAsia" w:ascii="宋体" w:hAnsi="宋体" w:eastAsia="宋体"/>
          <w:color w:val="000000"/>
          <w:sz w:val="28"/>
          <w:szCs w:val="28"/>
        </w:rPr>
        <w:t>鼓励建筑企业通过培育自有建筑工人、吸纳高技能技术工人和职业院校毕业生等方式，建立相对稳定的核心技术工人队伍。项目发包时，鼓励发包人在同等条件下优先选择自有建筑工人占比大的企业；评优评先时，同等条件下优先考虑自有建筑工人占比大的项目。</w:t>
      </w:r>
    </w:p>
    <w:p w14:paraId="75C39ECB">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大力发展专业作业企业。</w:t>
      </w:r>
      <w:r>
        <w:rPr>
          <w:rFonts w:hint="eastAsia" w:ascii="宋体" w:hAnsi="宋体" w:eastAsia="宋体"/>
          <w:color w:val="000000"/>
          <w:sz w:val="28"/>
          <w:szCs w:val="28"/>
        </w:rPr>
        <w:t>落实劳务分包资质备案制度，鼓励专业分包、班组作业，引导现有劳务班组或有一定技能和经验的建筑工人成立以作业为主的企业，自主选择1—2个专业作业工种。</w:t>
      </w:r>
    </w:p>
    <w:p w14:paraId="6CAFC32F">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完善职业技能培训体系。</w:t>
      </w:r>
      <w:r>
        <w:rPr>
          <w:rFonts w:hint="eastAsia" w:ascii="宋体" w:hAnsi="宋体" w:eastAsia="宋体"/>
          <w:color w:val="000000"/>
          <w:sz w:val="28"/>
          <w:szCs w:val="28"/>
        </w:rPr>
        <w:t>制定建筑工人职业技能标准和评价规范，探索对农民工进行技能认定。完善建筑业职业技能大赛考核体系，以比赛为载体推广相关技能培训，丰富更多相关工种的考核，完善相关工种的职业标准、考核大纲、教材和题库，推动建筑工人技能提升。</w:t>
      </w:r>
    </w:p>
    <w:p w14:paraId="2DDFE294">
      <w:pPr>
        <w:pStyle w:val="4"/>
        <w:spacing w:line="336" w:lineRule="auto"/>
      </w:pPr>
      <w:bookmarkStart w:id="39" w:name="_Toc63321831"/>
      <w:r>
        <w:t>（</w:t>
      </w:r>
      <w:r>
        <w:rPr>
          <w:rFonts w:hint="eastAsia"/>
        </w:rPr>
        <w:t>二</w:t>
      </w:r>
      <w:r>
        <w:t>） 保障建筑工人合法权益</w:t>
      </w:r>
      <w:bookmarkEnd w:id="39"/>
    </w:p>
    <w:p w14:paraId="01040F07">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w:t>
      </w:r>
      <w:r>
        <w:rPr>
          <w:rFonts w:ascii="宋体" w:hAnsi="宋体" w:eastAsia="宋体"/>
          <w:b/>
          <w:bCs/>
          <w:color w:val="000000"/>
          <w:sz w:val="28"/>
          <w:szCs w:val="28"/>
        </w:rPr>
        <w:t>实名制管理。</w:t>
      </w:r>
      <w:r>
        <w:rPr>
          <w:rFonts w:ascii="宋体" w:hAnsi="宋体" w:eastAsia="宋体"/>
          <w:color w:val="000000"/>
          <w:sz w:val="28"/>
          <w:szCs w:val="28"/>
        </w:rPr>
        <w:t>完善建筑工人实名制信息管理服务平台建设，探索劳动用工信息与市场准入、个人信用、职业道德、工作表现、施工质量及安全生产、教育培训、评优评先、欠薪处理、履约守信等相结合，实现实名制管理数据共建共享。到“十四五”后期，实现全市房屋建筑和市政工程项目实名制全覆盖、与全国实名制管理信息平台互联互通</w:t>
      </w:r>
      <w:r>
        <w:rPr>
          <w:rFonts w:hint="eastAsia" w:ascii="宋体" w:hAnsi="宋体" w:eastAsia="宋体"/>
          <w:color w:val="000000"/>
          <w:sz w:val="28"/>
          <w:szCs w:val="28"/>
        </w:rPr>
        <w:t>、实名制管理在事中事后监管中的作用进一步被挖掘</w:t>
      </w:r>
      <w:r>
        <w:rPr>
          <w:rFonts w:ascii="宋体" w:hAnsi="宋体" w:eastAsia="宋体"/>
          <w:color w:val="000000"/>
          <w:sz w:val="28"/>
          <w:szCs w:val="28"/>
        </w:rPr>
        <w:t>。</w:t>
      </w:r>
    </w:p>
    <w:p w14:paraId="13C1290E">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保障工人权益。</w:t>
      </w:r>
      <w:r>
        <w:rPr>
          <w:rFonts w:ascii="宋体" w:hAnsi="宋体" w:eastAsia="宋体"/>
          <w:color w:val="000000"/>
          <w:sz w:val="28"/>
          <w:szCs w:val="28"/>
        </w:rPr>
        <w:t>改善建筑工人劳动环境，提高建筑工人社会保障水平。积极探索</w:t>
      </w:r>
      <w:r>
        <w:rPr>
          <w:rFonts w:hint="eastAsia" w:ascii="宋体" w:hAnsi="宋体" w:eastAsia="宋体"/>
          <w:color w:val="000000"/>
          <w:sz w:val="28"/>
          <w:szCs w:val="28"/>
        </w:rPr>
        <w:t>“</w:t>
      </w:r>
      <w:r>
        <w:rPr>
          <w:rFonts w:ascii="宋体" w:hAnsi="宋体" w:eastAsia="宋体"/>
          <w:color w:val="000000"/>
          <w:sz w:val="28"/>
          <w:szCs w:val="28"/>
        </w:rPr>
        <w:t>工住分离</w:t>
      </w:r>
      <w:r>
        <w:rPr>
          <w:rFonts w:hint="eastAsia" w:ascii="宋体" w:hAnsi="宋体" w:eastAsia="宋体"/>
          <w:color w:val="000000"/>
          <w:sz w:val="28"/>
          <w:szCs w:val="28"/>
        </w:rPr>
        <w:t>”</w:t>
      </w:r>
      <w:r>
        <w:rPr>
          <w:rFonts w:ascii="宋体" w:hAnsi="宋体" w:eastAsia="宋体"/>
          <w:color w:val="000000"/>
          <w:sz w:val="28"/>
          <w:szCs w:val="28"/>
        </w:rPr>
        <w:t>的集中居住区建设，鼓励大型企业参与建设或集体承租施工临时居住点，采取多种方式帮助建筑从业人员改善居住条件，丰富建筑工人文化生活，提升建筑工人生活质量。逐步提高建筑工人社会保险覆盖率，其中工伤保险实现全覆盖。</w:t>
      </w:r>
    </w:p>
    <w:p w14:paraId="7450C9B0">
      <w:pPr>
        <w:pStyle w:val="4"/>
        <w:spacing w:line="336" w:lineRule="auto"/>
      </w:pPr>
      <w:bookmarkStart w:id="40" w:name="_Toc63321832"/>
      <w:r>
        <w:t>（</w:t>
      </w:r>
      <w:r>
        <w:rPr>
          <w:rFonts w:hint="eastAsia"/>
        </w:rPr>
        <w:t>三</w:t>
      </w:r>
      <w:r>
        <w:t>） 加强建筑业人才队伍建设</w:t>
      </w:r>
      <w:bookmarkEnd w:id="40"/>
    </w:p>
    <w:p w14:paraId="5A5654D7">
      <w:pPr>
        <w:snapToGrid w:val="0"/>
        <w:spacing w:line="336"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完善用人制度。</w:t>
      </w:r>
      <w:r>
        <w:rPr>
          <w:rFonts w:hint="eastAsia" w:ascii="宋体" w:hAnsi="宋体" w:eastAsia="宋体"/>
          <w:color w:val="000000" w:themeColor="text1"/>
          <w:sz w:val="28"/>
          <w:szCs w:val="28"/>
          <w14:textFill>
            <w14:solidFill>
              <w14:schemeClr w14:val="tx1"/>
            </w14:solidFill>
          </w14:textFill>
        </w:rPr>
        <w:t>促进建筑业企业提升人力资源管理水平，建立高水平人力资源体系，完善绩效考核和激励制度，构建结构合理的人才梯队，畅通晋升机制，增强建筑业从业人员归属感、公平感、获得感；研究高端人才引进的奖励办法，鼓励企业引进适应EPC总承包和全过程工程咨询需要的高端管理人才，鼓励企业引进适应建筑工业化、信息化需要的高端技术人才。</w:t>
      </w:r>
    </w:p>
    <w:p w14:paraId="3D01B3EB">
      <w:pPr>
        <w:snapToGrid w:val="0"/>
        <w:spacing w:line="336"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加强人才培养。</w:t>
      </w:r>
      <w:r>
        <w:rPr>
          <w:rFonts w:hint="eastAsia" w:ascii="宋体" w:hAnsi="宋体" w:eastAsia="宋体"/>
          <w:color w:val="000000" w:themeColor="text1"/>
          <w:sz w:val="28"/>
          <w:szCs w:val="28"/>
          <w14:textFill>
            <w14:solidFill>
              <w14:schemeClr w14:val="tx1"/>
            </w14:solidFill>
          </w14:textFill>
        </w:rPr>
        <w:t>积极组织学习培训，增加观摩交流机会，健全专业人员培训取证的制度体系；积极对接职业学院、大专院校，针对建筑工业化、信息化的趋势修订培养方案，确保人才培养工作的前瞻性。</w:t>
      </w:r>
    </w:p>
    <w:p w14:paraId="056002DC">
      <w:pPr>
        <w:snapToGrid w:val="0"/>
        <w:spacing w:line="336"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完善权益保障。</w:t>
      </w:r>
      <w:r>
        <w:rPr>
          <w:rFonts w:hint="eastAsia" w:ascii="宋体" w:hAnsi="宋体" w:eastAsia="宋体"/>
          <w:color w:val="000000" w:themeColor="text1"/>
          <w:sz w:val="28"/>
          <w:szCs w:val="28"/>
          <w14:textFill>
            <w14:solidFill>
              <w14:schemeClr w14:val="tx1"/>
            </w14:solidFill>
          </w14:textFill>
        </w:rPr>
        <w:t>通过推广“先进建造”计划改善建筑从业者的工作环境，降低建筑业人才流失断层风险；</w:t>
      </w:r>
      <w:r>
        <w:rPr>
          <w:rFonts w:ascii="宋体" w:hAnsi="宋体" w:eastAsia="宋体"/>
          <w:color w:val="000000" w:themeColor="text1"/>
          <w:sz w:val="28"/>
          <w:szCs w:val="28"/>
          <w14:textFill>
            <w14:solidFill>
              <w14:schemeClr w14:val="tx1"/>
            </w14:solidFill>
          </w14:textFill>
        </w:rPr>
        <w:t>提升建筑业从业人员社会保障水平，</w:t>
      </w:r>
      <w:r>
        <w:rPr>
          <w:rFonts w:hint="eastAsia" w:ascii="宋体" w:hAnsi="宋体" w:eastAsia="宋体"/>
          <w:color w:val="000000" w:themeColor="text1"/>
          <w:sz w:val="28"/>
          <w:szCs w:val="28"/>
          <w14:textFill>
            <w14:solidFill>
              <w14:schemeClr w14:val="tx1"/>
            </w14:solidFill>
          </w14:textFill>
        </w:rPr>
        <w:t>积极对接“海河工匠”和“海河英才”计划，建立建筑业高端人才库，</w:t>
      </w:r>
      <w:r>
        <w:rPr>
          <w:rFonts w:ascii="宋体" w:hAnsi="宋体" w:eastAsia="宋体"/>
          <w:color w:val="000000" w:themeColor="text1"/>
          <w:sz w:val="28"/>
          <w:szCs w:val="28"/>
          <w14:textFill>
            <w14:solidFill>
              <w14:schemeClr w14:val="tx1"/>
            </w14:solidFill>
          </w14:textFill>
        </w:rPr>
        <w:t>提供落户、子女教育、住房补贴等政策关怀</w:t>
      </w:r>
      <w:r>
        <w:rPr>
          <w:rFonts w:hint="eastAsia" w:ascii="宋体" w:hAnsi="宋体" w:eastAsia="宋体"/>
          <w:color w:val="000000" w:themeColor="text1"/>
          <w:sz w:val="28"/>
          <w:szCs w:val="28"/>
          <w14:textFill>
            <w14:solidFill>
              <w14:schemeClr w14:val="tx1"/>
            </w14:solidFill>
          </w14:textFill>
        </w:rPr>
        <w:t>，使其服务天津，宣传天津</w:t>
      </w:r>
      <w:r>
        <w:rPr>
          <w:rFonts w:ascii="宋体" w:hAnsi="宋体" w:eastAsia="宋体"/>
          <w:color w:val="000000" w:themeColor="text1"/>
          <w:sz w:val="28"/>
          <w:szCs w:val="28"/>
          <w14:textFill>
            <w14:solidFill>
              <w14:schemeClr w14:val="tx1"/>
            </w14:solidFill>
          </w14:textFill>
        </w:rPr>
        <w:t>。</w:t>
      </w:r>
    </w:p>
    <w:p w14:paraId="4F5A6625">
      <w:pPr>
        <w:pStyle w:val="3"/>
        <w:numPr>
          <w:ilvl w:val="0"/>
          <w:numId w:val="2"/>
        </w:numPr>
        <w:spacing w:line="360" w:lineRule="auto"/>
        <w:rPr>
          <w:b/>
          <w:bCs w:val="0"/>
        </w:rPr>
      </w:pPr>
      <w:bookmarkStart w:id="41" w:name="_Toc63321833"/>
      <w:r>
        <w:rPr>
          <w:rFonts w:hint="eastAsia"/>
          <w:b/>
          <w:bCs w:val="0"/>
        </w:rPr>
        <w:t>完善建筑市场监管，优化建筑市场环境</w:t>
      </w:r>
      <w:bookmarkEnd w:id="41"/>
    </w:p>
    <w:p w14:paraId="2E5E6BE5">
      <w:pPr>
        <w:spacing w:line="360" w:lineRule="auto"/>
        <w:ind w:firstLine="562" w:firstLineChars="200"/>
      </w:pPr>
      <w:r>
        <w:rPr>
          <w:rFonts w:hint="eastAsia"/>
          <w:b/>
          <w:sz w:val="28"/>
        </w:rPr>
        <w:t>健康的市场环境是行业高质量发展的保障。</w:t>
      </w:r>
      <w:r>
        <w:rPr>
          <w:rFonts w:hint="eastAsia"/>
          <w:sz w:val="28"/>
        </w:rPr>
        <w:t>针对招投标、合同履约、质量安全等易发违法违规行为的领域，一方面保持高压监管态势不放松，增强监管审批的智慧化程度；一方面完善信用体系，逐步形成市场自律调节的机制。</w:t>
      </w:r>
    </w:p>
    <w:p w14:paraId="5A0D8A6F">
      <w:pPr>
        <w:pStyle w:val="4"/>
      </w:pPr>
      <w:bookmarkStart w:id="42" w:name="_Toc63321834"/>
      <w:r>
        <w:t>（</w:t>
      </w:r>
      <w:r>
        <w:rPr>
          <w:rFonts w:hint="eastAsia"/>
        </w:rPr>
        <w:t>一</w:t>
      </w:r>
      <w:r>
        <w:t>）</w:t>
      </w:r>
      <w:r>
        <w:rPr>
          <w:rFonts w:hint="eastAsia"/>
        </w:rPr>
        <w:t>完善</w:t>
      </w:r>
      <w:r>
        <w:t>招投标</w:t>
      </w:r>
      <w:r>
        <w:rPr>
          <w:rFonts w:hint="eastAsia"/>
        </w:rPr>
        <w:t>管理</w:t>
      </w:r>
      <w:bookmarkEnd w:id="42"/>
    </w:p>
    <w:p w14:paraId="54849ADE">
      <w:pPr>
        <w:snapToGrid w:val="0"/>
        <w:spacing w:line="360" w:lineRule="auto"/>
        <w:ind w:firstLine="562" w:firstLineChars="200"/>
        <w:rPr>
          <w:rFonts w:ascii="宋体" w:hAnsi="宋体" w:eastAsia="宋体"/>
          <w:sz w:val="28"/>
          <w:szCs w:val="28"/>
        </w:rPr>
      </w:pPr>
      <w:r>
        <w:rPr>
          <w:rFonts w:ascii="宋体" w:hAnsi="宋体" w:eastAsia="宋体"/>
          <w:b/>
          <w:bCs/>
          <w:sz w:val="28"/>
          <w:szCs w:val="28"/>
        </w:rPr>
        <w:t>加强招投标监管</w:t>
      </w:r>
      <w:r>
        <w:rPr>
          <w:rFonts w:hint="eastAsia" w:ascii="宋体" w:hAnsi="宋体" w:eastAsia="宋体"/>
          <w:sz w:val="28"/>
          <w:szCs w:val="28"/>
        </w:rPr>
        <w:t>。</w:t>
      </w:r>
      <w:r>
        <w:rPr>
          <w:rFonts w:ascii="宋体" w:hAnsi="宋体" w:eastAsia="宋体"/>
          <w:sz w:val="28"/>
          <w:szCs w:val="28"/>
        </w:rPr>
        <w:t>严厉打击假借</w:t>
      </w:r>
      <w:r>
        <w:rPr>
          <w:rFonts w:hint="eastAsia" w:ascii="宋体" w:hAnsi="宋体" w:eastAsia="宋体"/>
          <w:sz w:val="28"/>
          <w:szCs w:val="28"/>
        </w:rPr>
        <w:t>资质进行投标，严厉打击围标、串标</w:t>
      </w:r>
      <w:r>
        <w:rPr>
          <w:rFonts w:ascii="宋体" w:hAnsi="宋体" w:eastAsia="宋体"/>
          <w:sz w:val="28"/>
          <w:szCs w:val="28"/>
        </w:rPr>
        <w:t>现象，</w:t>
      </w:r>
      <w:r>
        <w:rPr>
          <w:rFonts w:hint="eastAsia" w:ascii="宋体" w:hAnsi="宋体" w:eastAsia="宋体"/>
          <w:sz w:val="28"/>
          <w:szCs w:val="28"/>
        </w:rPr>
        <w:t>加大招投标违法违规行为的整治力度，</w:t>
      </w:r>
      <w:r>
        <w:rPr>
          <w:rFonts w:ascii="宋体" w:hAnsi="宋体" w:eastAsia="宋体"/>
          <w:sz w:val="28"/>
          <w:szCs w:val="28"/>
        </w:rPr>
        <w:t>加大招投标失信行为信息公开力度</w:t>
      </w:r>
      <w:r>
        <w:rPr>
          <w:rFonts w:hint="eastAsia" w:ascii="宋体" w:hAnsi="宋体" w:eastAsia="宋体"/>
          <w:sz w:val="28"/>
          <w:szCs w:val="28"/>
        </w:rPr>
        <w:t>与惩戒力度。</w:t>
      </w:r>
    </w:p>
    <w:p w14:paraId="7E36089E">
      <w:pPr>
        <w:snapToGrid w:val="0"/>
        <w:spacing w:line="360" w:lineRule="auto"/>
        <w:ind w:firstLine="562" w:firstLineChars="200"/>
        <w:rPr>
          <w:rFonts w:ascii="宋体" w:hAnsi="宋体" w:eastAsia="宋体"/>
          <w:sz w:val="28"/>
          <w:szCs w:val="28"/>
        </w:rPr>
      </w:pPr>
      <w:r>
        <w:rPr>
          <w:rFonts w:hint="eastAsia" w:ascii="宋体" w:hAnsi="宋体" w:eastAsia="宋体"/>
          <w:b/>
          <w:bCs/>
          <w:sz w:val="28"/>
          <w:szCs w:val="28"/>
        </w:rPr>
        <w:t>完善评标制度。</w:t>
      </w:r>
      <w:r>
        <w:rPr>
          <w:rFonts w:ascii="宋体" w:hAnsi="宋体" w:eastAsia="宋体"/>
          <w:sz w:val="28"/>
          <w:szCs w:val="28"/>
        </w:rPr>
        <w:t>推进综合评标，</w:t>
      </w:r>
      <w:r>
        <w:rPr>
          <w:rFonts w:hint="eastAsia" w:ascii="宋体" w:hAnsi="宋体" w:eastAsia="宋体"/>
          <w:sz w:val="28"/>
          <w:szCs w:val="28"/>
        </w:rPr>
        <w:t>在评标中加强对投标单位信用与履约能力的考查，</w:t>
      </w:r>
      <w:r>
        <w:rPr>
          <w:rFonts w:ascii="宋体" w:hAnsi="宋体" w:eastAsia="宋体"/>
          <w:sz w:val="28"/>
          <w:szCs w:val="28"/>
        </w:rPr>
        <w:t>破除最低价中标弊端，</w:t>
      </w:r>
      <w:r>
        <w:rPr>
          <w:rFonts w:hint="eastAsia" w:ascii="宋体" w:hAnsi="宋体" w:eastAsia="宋体"/>
          <w:sz w:val="28"/>
          <w:szCs w:val="28"/>
        </w:rPr>
        <w:t>鼓励“优质优价”，</w:t>
      </w:r>
      <w:r>
        <w:rPr>
          <w:rFonts w:ascii="宋体" w:hAnsi="宋体" w:eastAsia="宋体"/>
          <w:sz w:val="28"/>
          <w:szCs w:val="28"/>
        </w:rPr>
        <w:t>防止市场出现</w:t>
      </w:r>
      <w:r>
        <w:rPr>
          <w:rFonts w:hint="eastAsia" w:ascii="宋体" w:hAnsi="宋体" w:eastAsia="宋体"/>
          <w:sz w:val="28"/>
          <w:szCs w:val="28"/>
        </w:rPr>
        <w:t>低价</w:t>
      </w:r>
      <w:r>
        <w:rPr>
          <w:rFonts w:ascii="宋体" w:hAnsi="宋体" w:eastAsia="宋体"/>
          <w:sz w:val="28"/>
          <w:szCs w:val="28"/>
        </w:rPr>
        <w:t>恶性竞争。</w:t>
      </w:r>
      <w:r>
        <w:rPr>
          <w:rFonts w:hint="eastAsia" w:ascii="宋体" w:hAnsi="宋体" w:eastAsia="宋体"/>
          <w:sz w:val="28"/>
          <w:szCs w:val="28"/>
        </w:rPr>
        <w:t>修订评标办法，制定新的招标文件范本，鼓励有条件的项目试行“评定分离”制度，从制度上遏制围标串标。</w:t>
      </w:r>
    </w:p>
    <w:p w14:paraId="79F58AA8">
      <w:pPr>
        <w:snapToGrid w:val="0"/>
        <w:spacing w:line="360" w:lineRule="auto"/>
        <w:ind w:firstLine="562" w:firstLineChars="200"/>
        <w:rPr>
          <w:rFonts w:ascii="宋体" w:hAnsi="宋体" w:eastAsia="宋体"/>
          <w:sz w:val="28"/>
          <w:szCs w:val="28"/>
        </w:rPr>
      </w:pPr>
      <w:r>
        <w:rPr>
          <w:rFonts w:hint="eastAsia" w:ascii="宋体" w:hAnsi="宋体" w:eastAsia="宋体"/>
          <w:b/>
          <w:bCs/>
          <w:sz w:val="28"/>
          <w:szCs w:val="28"/>
        </w:rPr>
        <w:t>做好招投标领域“放管服”。</w:t>
      </w:r>
      <w:r>
        <w:rPr>
          <w:rFonts w:hint="eastAsia" w:ascii="宋体" w:hAnsi="宋体" w:eastAsia="宋体"/>
          <w:sz w:val="28"/>
          <w:szCs w:val="28"/>
        </w:rPr>
        <w:t>严格按照法律要求，缩小必须招标的范围，提高必须招标的标准，逐步把决定是否招标的权力交给市场主体。继续完善电子化招标系统，整合各个功能模块，优化用户使用体验。</w:t>
      </w:r>
    </w:p>
    <w:p w14:paraId="5BD55993">
      <w:pPr>
        <w:snapToGrid w:val="0"/>
        <w:spacing w:line="360" w:lineRule="auto"/>
        <w:ind w:firstLine="562" w:firstLineChars="200"/>
        <w:rPr>
          <w:rFonts w:ascii="宋体" w:hAnsi="宋体" w:eastAsia="宋体"/>
          <w:color w:val="FF0000"/>
          <w:sz w:val="28"/>
          <w:szCs w:val="28"/>
        </w:rPr>
      </w:pPr>
      <w:r>
        <w:rPr>
          <w:rFonts w:hint="eastAsia" w:ascii="宋体" w:hAnsi="宋体" w:eastAsia="宋体"/>
          <w:b/>
          <w:bCs/>
          <w:sz w:val="28"/>
          <w:szCs w:val="28"/>
        </w:rPr>
        <w:t>加强评标专家行为管理。</w:t>
      </w:r>
      <w:r>
        <w:rPr>
          <w:rFonts w:hint="eastAsia" w:ascii="宋体" w:hAnsi="宋体" w:eastAsia="宋体"/>
          <w:sz w:val="28"/>
          <w:szCs w:val="28"/>
        </w:rPr>
        <w:t>完善专家库管理制度，严格执行评标专家回避制度，加强评标专家信用管理，建立评标专家“黑名单”。</w:t>
      </w:r>
    </w:p>
    <w:p w14:paraId="22DA30B3">
      <w:pPr>
        <w:pStyle w:val="4"/>
        <w:spacing w:line="372" w:lineRule="auto"/>
      </w:pPr>
      <w:bookmarkStart w:id="43" w:name="_Toc63321835"/>
      <w:r>
        <w:t>（</w:t>
      </w:r>
      <w:r>
        <w:rPr>
          <w:rFonts w:hint="eastAsia"/>
        </w:rPr>
        <w:t>二</w:t>
      </w:r>
      <w:r>
        <w:t xml:space="preserve">） </w:t>
      </w:r>
      <w:r>
        <w:rPr>
          <w:rFonts w:hint="eastAsia"/>
        </w:rPr>
        <w:t>完善合同履约监管</w:t>
      </w:r>
      <w:bookmarkEnd w:id="43"/>
    </w:p>
    <w:p w14:paraId="1B1C4DA6">
      <w:pPr>
        <w:snapToGrid w:val="0"/>
        <w:spacing w:line="372"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加强施工单位履约监管。</w:t>
      </w:r>
      <w:r>
        <w:rPr>
          <w:rFonts w:ascii="宋体" w:hAnsi="宋体" w:eastAsia="宋体"/>
          <w:color w:val="000000"/>
          <w:sz w:val="28"/>
          <w:szCs w:val="28"/>
        </w:rPr>
        <w:t>规范建设工程价款结算过程，</w:t>
      </w:r>
      <w:r>
        <w:rPr>
          <w:rFonts w:hint="eastAsia" w:ascii="宋体" w:hAnsi="宋体" w:eastAsia="宋体"/>
          <w:color w:val="000000"/>
          <w:sz w:val="28"/>
          <w:szCs w:val="28"/>
        </w:rPr>
        <w:t>明确</w:t>
      </w:r>
      <w:r>
        <w:rPr>
          <w:rFonts w:ascii="宋体" w:hAnsi="宋体" w:eastAsia="宋体"/>
          <w:color w:val="000000"/>
          <w:sz w:val="28"/>
          <w:szCs w:val="28"/>
        </w:rPr>
        <w:t>招标文件、施工合同中结算周期、验收要求、支付方法等内容，</w:t>
      </w:r>
      <w:r>
        <w:rPr>
          <w:rFonts w:hint="eastAsia" w:ascii="宋体" w:hAnsi="宋体" w:eastAsia="宋体"/>
          <w:color w:val="000000"/>
          <w:sz w:val="28"/>
          <w:szCs w:val="28"/>
        </w:rPr>
        <w:t>严厉打击中标后更换项目经理和技术负责人，严厉打击中标后变更合同主要条款，转包、挂靠等违法违规行为，并加大处罚力度。研究推进快速仲裁，帮助企业快速解决合同纠纷。</w:t>
      </w:r>
    </w:p>
    <w:p w14:paraId="27DB8BCF">
      <w:pPr>
        <w:snapToGrid w:val="0"/>
        <w:spacing w:line="372" w:lineRule="auto"/>
        <w:ind w:firstLine="562" w:firstLineChars="200"/>
        <w:rPr>
          <w:rFonts w:ascii="宋体" w:hAnsi="宋体" w:eastAsia="宋体"/>
          <w:color w:val="000000"/>
          <w:sz w:val="28"/>
          <w:szCs w:val="28"/>
        </w:rPr>
      </w:pPr>
      <w:r>
        <w:rPr>
          <w:rFonts w:ascii="宋体" w:hAnsi="宋体" w:eastAsia="宋体"/>
          <w:b/>
          <w:bCs/>
          <w:color w:val="000000"/>
          <w:sz w:val="28"/>
          <w:szCs w:val="28"/>
        </w:rPr>
        <w:t>建立建设单位信用承诺制</w:t>
      </w:r>
      <w:r>
        <w:rPr>
          <w:rFonts w:hint="eastAsia" w:ascii="宋体" w:hAnsi="宋体" w:eastAsia="宋体"/>
          <w:color w:val="000000"/>
          <w:sz w:val="28"/>
          <w:szCs w:val="28"/>
        </w:rPr>
        <w:t>。</w:t>
      </w:r>
      <w:r>
        <w:rPr>
          <w:rFonts w:ascii="宋体" w:hAnsi="宋体" w:eastAsia="宋体"/>
          <w:color w:val="000000"/>
          <w:sz w:val="28"/>
          <w:szCs w:val="28"/>
        </w:rPr>
        <w:t>将严禁拖欠工程款、政府投资工程不得要求施工单位带资承包、全面落实施工过程结算等要求纳入建设单位承诺内容，对建设单位进行信用约束</w:t>
      </w:r>
      <w:r>
        <w:rPr>
          <w:rFonts w:hint="eastAsia" w:ascii="宋体" w:hAnsi="宋体" w:eastAsia="宋体"/>
          <w:color w:val="000000"/>
          <w:sz w:val="28"/>
          <w:szCs w:val="28"/>
        </w:rPr>
        <w:t>。</w:t>
      </w:r>
      <w:r>
        <w:rPr>
          <w:rFonts w:ascii="宋体" w:hAnsi="宋体" w:eastAsia="宋体"/>
          <w:color w:val="000000"/>
          <w:sz w:val="28"/>
          <w:szCs w:val="28"/>
        </w:rPr>
        <w:t>加强对建设单位建设资金到位情况的监管，</w:t>
      </w:r>
      <w:r>
        <w:rPr>
          <w:rFonts w:hint="eastAsia" w:ascii="宋体" w:hAnsi="宋体" w:eastAsia="宋体"/>
          <w:color w:val="000000"/>
          <w:sz w:val="28"/>
          <w:szCs w:val="28"/>
        </w:rPr>
        <w:t>对建设单位的失信行为进行约谈</w:t>
      </w:r>
      <w:r>
        <w:rPr>
          <w:rFonts w:ascii="宋体" w:hAnsi="宋体" w:eastAsia="宋体"/>
          <w:color w:val="000000"/>
          <w:sz w:val="28"/>
          <w:szCs w:val="28"/>
        </w:rPr>
        <w:t>。</w:t>
      </w:r>
    </w:p>
    <w:p w14:paraId="2C8F4803">
      <w:pPr>
        <w:pStyle w:val="4"/>
        <w:spacing w:before="120" w:after="120" w:line="372" w:lineRule="auto"/>
        <w:contextualSpacing/>
      </w:pPr>
      <w:bookmarkStart w:id="44" w:name="_Toc63321836"/>
      <w:r>
        <w:rPr>
          <w:rFonts w:hint="eastAsia"/>
        </w:rPr>
        <w:t>（三） 完善质量安全监管</w:t>
      </w:r>
      <w:bookmarkEnd w:id="44"/>
    </w:p>
    <w:p w14:paraId="0FCA5D54">
      <w:pPr>
        <w:snapToGrid w:val="0"/>
        <w:spacing w:line="372" w:lineRule="auto"/>
        <w:ind w:firstLine="562" w:firstLineChars="200"/>
        <w:rPr>
          <w:rFonts w:asciiTheme="minorEastAsia" w:hAnsiTheme="minorEastAsia"/>
          <w:sz w:val="28"/>
          <w:szCs w:val="32"/>
        </w:rPr>
      </w:pPr>
      <w:r>
        <w:rPr>
          <w:rFonts w:hint="eastAsia" w:asciiTheme="minorEastAsia" w:hAnsiTheme="minorEastAsia"/>
          <w:b/>
          <w:bCs/>
          <w:sz w:val="28"/>
          <w:szCs w:val="32"/>
        </w:rPr>
        <w:t>完善标准体系。</w:t>
      </w:r>
      <w:r>
        <w:rPr>
          <w:rFonts w:hint="eastAsia" w:asciiTheme="minorEastAsia" w:hAnsiTheme="minorEastAsia"/>
          <w:sz w:val="28"/>
          <w:szCs w:val="32"/>
        </w:rPr>
        <w:t>健全质量安全责任体系，落实建设单位的质量安全首要责任制，明确责任边界，加大质量安全责任追究力度。推进工程质量标准化建设，完善安全生产标准体系，提升安全生产技术及管理水平。</w:t>
      </w:r>
    </w:p>
    <w:p w14:paraId="616B28DE">
      <w:pPr>
        <w:snapToGrid w:val="0"/>
        <w:spacing w:line="372" w:lineRule="auto"/>
        <w:ind w:firstLine="562" w:firstLineChars="200"/>
        <w:rPr>
          <w:rFonts w:asciiTheme="minorEastAsia" w:hAnsiTheme="minorEastAsia"/>
          <w:sz w:val="28"/>
          <w:szCs w:val="32"/>
        </w:rPr>
      </w:pPr>
      <w:r>
        <w:rPr>
          <w:rFonts w:hint="eastAsia" w:asciiTheme="minorEastAsia" w:hAnsiTheme="minorEastAsia"/>
          <w:b/>
          <w:bCs/>
          <w:sz w:val="28"/>
          <w:szCs w:val="32"/>
        </w:rPr>
        <w:t>加强质量安全监管。</w:t>
      </w:r>
      <w:r>
        <w:rPr>
          <w:rFonts w:hint="eastAsia" w:asciiTheme="minorEastAsia" w:hAnsiTheme="minorEastAsia"/>
          <w:sz w:val="28"/>
          <w:szCs w:val="32"/>
        </w:rPr>
        <w:t>严格落实“双随机</w:t>
      </w:r>
      <w:r>
        <w:rPr>
          <w:rFonts w:hint="eastAsia" w:asciiTheme="minorEastAsia" w:hAnsiTheme="minorEastAsia"/>
          <w:sz w:val="28"/>
          <w:szCs w:val="32"/>
          <w:lang w:eastAsia="zh-CN"/>
        </w:rPr>
        <w:t>、</w:t>
      </w:r>
      <w:bookmarkStart w:id="57" w:name="_GoBack"/>
      <w:bookmarkEnd w:id="57"/>
      <w:r>
        <w:rPr>
          <w:rFonts w:hint="eastAsia" w:asciiTheme="minorEastAsia" w:hAnsiTheme="minorEastAsia"/>
          <w:sz w:val="28"/>
          <w:szCs w:val="32"/>
        </w:rPr>
        <w:t>一公开”检查方式，探索基于智慧工地的“互联网+监管”模式。加强重大安全风险防控，做好危险性较大分部分项工程安全辨识，加大检查力度。加强与建筑市场管理联动，在企业信用体系中强化对质量安全的考核，建立政府推动、市场运作、行业自律、企业自觉的质量安全生产市场监督约束机制。构建社会共治格局，支持公众参与监督，探索住宅工程质量信息公示制度。</w:t>
      </w:r>
    </w:p>
    <w:p w14:paraId="670BC62E">
      <w:pPr>
        <w:snapToGrid w:val="0"/>
        <w:spacing w:line="372" w:lineRule="auto"/>
        <w:ind w:firstLine="562" w:firstLineChars="200"/>
        <w:rPr>
          <w:rFonts w:asciiTheme="minorEastAsia" w:hAnsiTheme="minorEastAsia"/>
          <w:sz w:val="28"/>
          <w:szCs w:val="32"/>
        </w:rPr>
      </w:pPr>
      <w:r>
        <w:rPr>
          <w:rFonts w:hint="eastAsia" w:asciiTheme="minorEastAsia" w:hAnsiTheme="minorEastAsia"/>
          <w:b/>
          <w:bCs/>
          <w:sz w:val="28"/>
          <w:szCs w:val="32"/>
        </w:rPr>
        <w:t>加强质量安全监督队伍建设。</w:t>
      </w:r>
      <w:r>
        <w:rPr>
          <w:rFonts w:hint="eastAsia" w:asciiTheme="minorEastAsia" w:hAnsiTheme="minorEastAsia"/>
          <w:sz w:val="28"/>
          <w:szCs w:val="32"/>
        </w:rPr>
        <w:t>做好人员培训，提升人员素质。创新工程质量安全监管方式，鼓励采取政府购买服务方式委托具备条件的社会力量开展质量安全监督检查，缓解监管力量不足的问题。</w:t>
      </w:r>
    </w:p>
    <w:p w14:paraId="49BEC460">
      <w:pPr>
        <w:pStyle w:val="4"/>
        <w:spacing w:before="120" w:after="120"/>
      </w:pPr>
      <w:bookmarkStart w:id="45" w:name="_Toc63321837"/>
      <w:r>
        <w:t>（</w:t>
      </w:r>
      <w:r>
        <w:rPr>
          <w:rFonts w:hint="eastAsia"/>
        </w:rPr>
        <w:t>四</w:t>
      </w:r>
      <w:r>
        <w:t>） 完善建筑市场信用体系建设</w:t>
      </w:r>
      <w:bookmarkEnd w:id="45"/>
    </w:p>
    <w:p w14:paraId="04D41640">
      <w:pPr>
        <w:snapToGrid w:val="0"/>
        <w:spacing w:line="360" w:lineRule="auto"/>
        <w:ind w:firstLine="562" w:firstLineChars="200"/>
        <w:rPr>
          <w:rFonts w:ascii="宋体" w:hAnsi="宋体" w:eastAsia="宋体"/>
          <w:color w:val="000000"/>
          <w:sz w:val="28"/>
          <w:szCs w:val="28"/>
        </w:rPr>
      </w:pPr>
      <w:r>
        <w:rPr>
          <w:rFonts w:ascii="宋体" w:hAnsi="宋体" w:eastAsia="宋体"/>
          <w:b/>
          <w:bCs/>
          <w:color w:val="000000"/>
          <w:sz w:val="28"/>
          <w:szCs w:val="28"/>
        </w:rPr>
        <w:t>进一步完善建筑市场信用评价办法</w:t>
      </w:r>
      <w:r>
        <w:rPr>
          <w:rFonts w:hint="eastAsia" w:ascii="宋体" w:hAnsi="宋体" w:eastAsia="宋体"/>
          <w:color w:val="000000"/>
          <w:sz w:val="28"/>
          <w:szCs w:val="28"/>
        </w:rPr>
        <w:t>。实现</w:t>
      </w:r>
      <w:r>
        <w:rPr>
          <w:rFonts w:ascii="宋体" w:hAnsi="宋体" w:eastAsia="宋体"/>
          <w:color w:val="000000"/>
          <w:sz w:val="28"/>
          <w:szCs w:val="28"/>
        </w:rPr>
        <w:t>实时评价和阶段评价相结合，完善常态化、动态化的评价机制，</w:t>
      </w:r>
      <w:r>
        <w:rPr>
          <w:rFonts w:hint="eastAsia" w:ascii="宋体" w:hAnsi="宋体" w:eastAsia="宋体"/>
          <w:color w:val="000000"/>
          <w:sz w:val="28"/>
          <w:szCs w:val="28"/>
        </w:rPr>
        <w:t>压缩评价周期，进一步加大信用评价结果的公开力度和奖惩力度，增强评价结果的影响。动态调整评价内容，吸收先进经验，完善对企业科技创新、社会责任、职工培养等因素的考察。在现有企业信用的基础上，建立完善建筑市场注册执业人员信用管理体系，形成建筑市场主体电子信用档案和信用报告。完善失信修复机制，引导失信法人和自然人重塑良好信用。</w:t>
      </w:r>
    </w:p>
    <w:p w14:paraId="7B98A9CF">
      <w:pPr>
        <w:snapToGrid w:val="0"/>
        <w:spacing w:line="360" w:lineRule="auto"/>
        <w:ind w:firstLine="562" w:firstLineChars="200"/>
        <w:rPr>
          <w:rFonts w:ascii="宋体" w:hAnsi="宋体" w:eastAsia="宋体"/>
          <w:color w:val="000000"/>
          <w:sz w:val="28"/>
          <w:szCs w:val="28"/>
        </w:rPr>
      </w:pPr>
      <w:r>
        <w:rPr>
          <w:rFonts w:ascii="宋体" w:hAnsi="宋体" w:eastAsia="宋体"/>
          <w:b/>
          <w:bCs/>
          <w:color w:val="000000"/>
          <w:sz w:val="28"/>
          <w:szCs w:val="28"/>
        </w:rPr>
        <w:t>强化</w:t>
      </w:r>
      <w:r>
        <w:rPr>
          <w:rFonts w:hint="eastAsia" w:ascii="宋体" w:hAnsi="宋体" w:eastAsia="宋体"/>
          <w:b/>
          <w:bCs/>
          <w:color w:val="000000"/>
          <w:sz w:val="28"/>
          <w:szCs w:val="28"/>
        </w:rPr>
        <w:t>信用评价结果应用</w:t>
      </w:r>
      <w:r>
        <w:rPr>
          <w:rFonts w:hint="eastAsia" w:ascii="宋体" w:hAnsi="宋体" w:eastAsia="宋体"/>
          <w:color w:val="000000"/>
          <w:sz w:val="28"/>
          <w:szCs w:val="28"/>
        </w:rPr>
        <w:t>。</w:t>
      </w:r>
      <w:r>
        <w:rPr>
          <w:rFonts w:ascii="宋体" w:hAnsi="宋体" w:eastAsia="宋体"/>
          <w:color w:val="000000"/>
          <w:sz w:val="28"/>
          <w:szCs w:val="28"/>
        </w:rPr>
        <w:t>在行政许可、日常监管、评优表彰中</w:t>
      </w:r>
      <w:r>
        <w:rPr>
          <w:rFonts w:hint="eastAsia" w:ascii="宋体" w:hAnsi="宋体" w:eastAsia="宋体"/>
          <w:color w:val="000000"/>
          <w:sz w:val="28"/>
          <w:szCs w:val="28"/>
        </w:rPr>
        <w:t>对信用优质的企业给予政策扶持，简化行政许可办理流程，在法律允许的范围内适当降低其保证金的比例，研究建筑市场信用评分与金融机构对接的可能性，并逐步提升企业信用评分在评标中所占的比重。推动京津冀信用评价体系的兼容互认和信息共享。大力推进信用分级分类监管，</w:t>
      </w:r>
      <w:r>
        <w:rPr>
          <w:rFonts w:ascii="宋体" w:hAnsi="宋体" w:eastAsia="宋体"/>
          <w:color w:val="000000"/>
          <w:sz w:val="28"/>
          <w:szCs w:val="28"/>
        </w:rPr>
        <w:t>对信用较差的企业进行重点监管，加大检查力度。</w:t>
      </w:r>
    </w:p>
    <w:p w14:paraId="2AB762D6">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完善信用监管联动机制。</w:t>
      </w:r>
      <w:r>
        <w:rPr>
          <w:rFonts w:hint="eastAsia" w:ascii="宋体" w:hAnsi="宋体" w:eastAsia="宋体"/>
          <w:color w:val="000000"/>
          <w:sz w:val="28"/>
          <w:szCs w:val="28"/>
        </w:rPr>
        <w:t>与其他部门合作增加信用信息采集来源；进一步完善建筑市场信用体系评价配套应用机制，加快推进与市司法、人力社保、环保等有关部门合作，实现联合奖惩。</w:t>
      </w:r>
    </w:p>
    <w:p w14:paraId="5857704D">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加强诚信宣传教育。</w:t>
      </w:r>
      <w:r>
        <w:rPr>
          <w:rFonts w:ascii="宋体" w:hAnsi="宋体" w:eastAsia="宋体"/>
          <w:color w:val="000000"/>
          <w:sz w:val="28"/>
          <w:szCs w:val="28"/>
        </w:rPr>
        <w:t>通过信用理念的教育和灌输，增强从业人员自我约束意识。全面综合行政、经济、法律、舆论等各方力量，营造高压态势</w:t>
      </w:r>
      <w:r>
        <w:rPr>
          <w:rFonts w:hint="eastAsia" w:ascii="宋体" w:hAnsi="宋体" w:eastAsia="宋体"/>
          <w:color w:val="000000"/>
          <w:sz w:val="28"/>
          <w:szCs w:val="28"/>
        </w:rPr>
        <w:t>，逐步实现靠</w:t>
      </w:r>
      <w:r>
        <w:rPr>
          <w:rFonts w:ascii="宋体" w:hAnsi="宋体" w:eastAsia="宋体"/>
          <w:color w:val="000000"/>
          <w:sz w:val="28"/>
          <w:szCs w:val="28"/>
        </w:rPr>
        <w:t>信用自律调节的市场环境。</w:t>
      </w:r>
    </w:p>
    <w:p w14:paraId="00F4485D">
      <w:pPr>
        <w:snapToGrid w:val="0"/>
        <w:spacing w:line="360" w:lineRule="auto"/>
        <w:ind w:firstLine="562" w:firstLineChars="200"/>
        <w:rPr>
          <w:rFonts w:ascii="宋体" w:hAnsi="宋体" w:eastAsia="宋体"/>
          <w:color w:val="000000"/>
          <w:sz w:val="28"/>
          <w:szCs w:val="28"/>
        </w:rPr>
      </w:pPr>
      <w:r>
        <w:rPr>
          <w:rFonts w:hint="eastAsia" w:ascii="宋体" w:hAnsi="宋体" w:eastAsia="宋体"/>
          <w:b/>
          <w:color w:val="000000"/>
          <w:sz w:val="28"/>
          <w:szCs w:val="28"/>
        </w:rPr>
        <w:t>加强行业自律。</w:t>
      </w:r>
      <w:r>
        <w:rPr>
          <w:rFonts w:hint="eastAsia" w:ascii="宋体" w:hAnsi="宋体" w:eastAsia="宋体"/>
          <w:color w:val="000000"/>
          <w:sz w:val="28"/>
          <w:szCs w:val="28"/>
        </w:rPr>
        <w:t>提升行业协会在引导行业发展、促进诚信经营、维护公平竞争和人才培养等方面的作用。强化行业自律机制，规范建筑企业经营行为，引导企业自觉遵守行业公约和职业道德准则，营造诚信守法的市场环境，维护建筑市场秩序。</w:t>
      </w:r>
    </w:p>
    <w:p w14:paraId="2D7C1B88">
      <w:pPr>
        <w:pStyle w:val="3"/>
        <w:numPr>
          <w:ilvl w:val="0"/>
          <w:numId w:val="2"/>
        </w:numPr>
        <w:spacing w:line="360" w:lineRule="auto"/>
        <w:rPr>
          <w:b/>
          <w:bCs w:val="0"/>
        </w:rPr>
      </w:pPr>
      <w:bookmarkStart w:id="46" w:name="_Toc63321838"/>
      <w:r>
        <w:rPr>
          <w:rFonts w:hint="eastAsia"/>
          <w:b/>
          <w:bCs w:val="0"/>
        </w:rPr>
        <w:t>提升服务企业水平，持续优化营商环境</w:t>
      </w:r>
      <w:bookmarkEnd w:id="46"/>
    </w:p>
    <w:p w14:paraId="43EB8541">
      <w:pPr>
        <w:spacing w:line="360" w:lineRule="auto"/>
        <w:ind w:firstLine="562" w:firstLineChars="200"/>
      </w:pPr>
      <w:r>
        <w:rPr>
          <w:rFonts w:hint="eastAsia"/>
          <w:b/>
          <w:sz w:val="28"/>
        </w:rPr>
        <w:t>优质的营商环境是行业高质量发展的加速器。</w:t>
      </w:r>
      <w:r>
        <w:rPr>
          <w:rFonts w:hint="eastAsia"/>
          <w:sz w:val="28"/>
        </w:rPr>
        <w:t>结合我市“优化营商环境”三年行动，从政务服务智慧化、完善工程担保机制、完善工程造价市场化机制、京津冀建筑市场协同发展、精准服务企业五个方面全面提升我市建筑业</w:t>
      </w:r>
      <w:r>
        <w:rPr>
          <w:sz w:val="28"/>
        </w:rPr>
        <w:t>营商环境</w:t>
      </w:r>
      <w:r>
        <w:rPr>
          <w:rFonts w:hint="eastAsia"/>
          <w:sz w:val="28"/>
        </w:rPr>
        <w:t>。</w:t>
      </w:r>
    </w:p>
    <w:p w14:paraId="5D6545EC">
      <w:pPr>
        <w:pStyle w:val="4"/>
        <w:spacing w:line="336" w:lineRule="auto"/>
      </w:pPr>
      <w:bookmarkStart w:id="47" w:name="_Toc63321839"/>
      <w:r>
        <w:t>（一） 持续</w:t>
      </w:r>
      <w:r>
        <w:rPr>
          <w:rFonts w:hint="eastAsia"/>
        </w:rPr>
        <w:t>提升政务服务水平</w:t>
      </w:r>
      <w:bookmarkEnd w:id="47"/>
    </w:p>
    <w:p w14:paraId="1138638D">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推动政务服务标准化，便利化。</w:t>
      </w:r>
      <w:r>
        <w:rPr>
          <w:rFonts w:hint="eastAsia" w:ascii="宋体" w:hAnsi="宋体" w:eastAsia="宋体"/>
          <w:color w:val="000000"/>
          <w:sz w:val="28"/>
          <w:szCs w:val="28"/>
        </w:rPr>
        <w:t>进一步优化业务审批的办理流程，精简审批事项，取消重复性及非必要流程环节，落实“告知承诺制度”，切实为企业减负。</w:t>
      </w:r>
      <w:r>
        <w:rPr>
          <w:rFonts w:ascii="宋体" w:hAnsi="宋体" w:eastAsia="宋体"/>
          <w:color w:val="000000"/>
          <w:sz w:val="28"/>
          <w:szCs w:val="28"/>
        </w:rPr>
        <w:t>组织企业资质变更、升级等业务的流程性培训，明确并统一收件窗口和审批环节的标准。深化证件资质电子化改革，推动电子证逐步取代纸质证书，实现项目全覆盖，做到全过程网上申请、网上审批。</w:t>
      </w:r>
    </w:p>
    <w:p w14:paraId="3B4FD284">
      <w:pPr>
        <w:snapToGrid w:val="0"/>
        <w:spacing w:line="336"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推动政务服务智慧化。</w:t>
      </w:r>
      <w:r>
        <w:rPr>
          <w:rFonts w:ascii="宋体" w:hAnsi="宋体" w:eastAsia="宋体"/>
          <w:color w:val="000000" w:themeColor="text1"/>
          <w:sz w:val="28"/>
          <w:szCs w:val="28"/>
          <w14:textFill>
            <w14:solidFill>
              <w14:schemeClr w14:val="tx1"/>
            </w14:solidFill>
          </w14:textFill>
        </w:rPr>
        <w:t>实现在线审批、统计分析、行政监管多种功能并联，借助信息化提升治理水平。</w:t>
      </w:r>
      <w:r>
        <w:rPr>
          <w:rFonts w:hint="eastAsia" w:ascii="宋体" w:hAnsi="宋体" w:eastAsia="宋体"/>
          <w:color w:val="000000" w:themeColor="text1"/>
          <w:sz w:val="28"/>
          <w:szCs w:val="28"/>
          <w14:textFill>
            <w14:solidFill>
              <w14:schemeClr w14:val="tx1"/>
            </w14:solidFill>
          </w14:textFill>
        </w:rPr>
        <w:t>应用现代化信息技术和大数据，量化审批标准，通过智能比对，自动判断生成审批结果，推进企业资质智慧提示、智慧审批、智慧监管。信息做到一次审核、多次使用，一经准入、多事项通用。</w:t>
      </w:r>
      <w:r>
        <w:rPr>
          <w:rFonts w:ascii="宋体" w:hAnsi="宋体" w:eastAsia="宋体"/>
          <w:color w:val="000000" w:themeColor="text1"/>
          <w:sz w:val="28"/>
          <w:szCs w:val="28"/>
          <w14:textFill>
            <w14:solidFill>
              <w14:schemeClr w14:val="tx1"/>
            </w14:solidFill>
          </w14:textFill>
        </w:rPr>
        <w:t>打通工商、人力资源社会保障等部门间壁垒，建立部门间数据实时共享机制，进一步加强部门间协作，有效提高审批效率，</w:t>
      </w:r>
      <w:r>
        <w:rPr>
          <w:rFonts w:hint="eastAsia" w:ascii="宋体" w:hAnsi="宋体" w:eastAsia="宋体"/>
          <w:color w:val="000000" w:themeColor="text1"/>
          <w:sz w:val="28"/>
          <w:szCs w:val="28"/>
          <w14:textFill>
            <w14:solidFill>
              <w14:schemeClr w14:val="tx1"/>
            </w14:solidFill>
          </w14:textFill>
        </w:rPr>
        <w:t>让数据多跑路，企业少跑腿儿。</w:t>
      </w:r>
    </w:p>
    <w:p w14:paraId="1A7B3DE0">
      <w:pPr>
        <w:pStyle w:val="4"/>
        <w:spacing w:line="336" w:lineRule="auto"/>
      </w:pPr>
      <w:bookmarkStart w:id="48" w:name="_Toc63321840"/>
      <w:r>
        <w:t>（</w:t>
      </w:r>
      <w:r>
        <w:rPr>
          <w:rFonts w:hint="eastAsia"/>
        </w:rPr>
        <w:t>二</w:t>
      </w:r>
      <w:r>
        <w:t>） 完善工程担保制度</w:t>
      </w:r>
      <w:bookmarkEnd w:id="48"/>
    </w:p>
    <w:p w14:paraId="05018D40">
      <w:pPr>
        <w:snapToGrid w:val="0"/>
        <w:spacing w:line="336" w:lineRule="auto"/>
        <w:ind w:firstLine="562" w:firstLineChars="200"/>
        <w:rPr>
          <w:rFonts w:ascii="宋体" w:hAnsi="宋体" w:eastAsia="宋体"/>
          <w:color w:val="000000"/>
          <w:sz w:val="28"/>
          <w:szCs w:val="28"/>
        </w:rPr>
      </w:pPr>
      <w:r>
        <w:rPr>
          <w:rFonts w:ascii="宋体" w:hAnsi="宋体" w:eastAsia="宋体"/>
          <w:b/>
          <w:bCs/>
          <w:color w:val="000000"/>
          <w:sz w:val="28"/>
          <w:szCs w:val="28"/>
        </w:rPr>
        <w:t>细化工程担保管理制度并增强其实操性</w:t>
      </w:r>
      <w:r>
        <w:rPr>
          <w:rFonts w:hint="eastAsia" w:ascii="宋体" w:hAnsi="宋体" w:eastAsia="宋体"/>
          <w:color w:val="000000"/>
          <w:sz w:val="28"/>
          <w:szCs w:val="28"/>
        </w:rPr>
        <w:t>。充分发挥工程担保的作用，加强企业</w:t>
      </w:r>
      <w:r>
        <w:rPr>
          <w:rFonts w:ascii="宋体" w:hAnsi="宋体" w:eastAsia="宋体"/>
          <w:color w:val="000000"/>
          <w:sz w:val="28"/>
          <w:szCs w:val="28"/>
        </w:rPr>
        <w:t>风险防范能力、减少履约纠纷与拖欠问题、减轻企业资金负担。</w:t>
      </w:r>
      <w:r>
        <w:rPr>
          <w:rFonts w:hint="eastAsia" w:ascii="宋体" w:hAnsi="宋体" w:eastAsia="宋体"/>
          <w:color w:val="000000"/>
          <w:sz w:val="28"/>
          <w:szCs w:val="28"/>
        </w:rPr>
        <w:t>做好工程担保与企业信用管理的对接，根据企业的不同信用评级，在保证金比例、担保额度等方面给予放宽或限制。</w:t>
      </w:r>
    </w:p>
    <w:p w14:paraId="27947FAE">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加快</w:t>
      </w:r>
      <w:r>
        <w:rPr>
          <w:rFonts w:ascii="宋体" w:hAnsi="宋体" w:eastAsia="宋体"/>
          <w:b/>
          <w:bCs/>
          <w:color w:val="000000"/>
          <w:sz w:val="28"/>
          <w:szCs w:val="28"/>
        </w:rPr>
        <w:t>推行保函替代保证金</w:t>
      </w:r>
      <w:r>
        <w:rPr>
          <w:rFonts w:hint="eastAsia" w:ascii="宋体" w:hAnsi="宋体" w:eastAsia="宋体"/>
          <w:color w:val="000000"/>
          <w:sz w:val="28"/>
          <w:szCs w:val="28"/>
        </w:rPr>
        <w:t>。“十四五”时期，实现</w:t>
      </w:r>
      <w:r>
        <w:rPr>
          <w:rFonts w:ascii="宋体" w:hAnsi="宋体" w:eastAsia="宋体"/>
          <w:color w:val="000000"/>
          <w:sz w:val="28"/>
          <w:szCs w:val="28"/>
        </w:rPr>
        <w:t>政府投资项目全面使用工程保函，鼓励其他项目提高工程保函覆盖率，允许使用工程保函替换已缴纳的保证金</w:t>
      </w:r>
      <w:r>
        <w:rPr>
          <w:rFonts w:hint="eastAsia" w:ascii="宋体" w:hAnsi="宋体" w:eastAsia="宋体"/>
          <w:color w:val="000000"/>
          <w:sz w:val="28"/>
          <w:szCs w:val="28"/>
        </w:rPr>
        <w:t>。积极对接金融机构，简化保函办理流程，同时推动各类金融机构根据保函种类与额度制定适配的办理程序、优化业务流程、提高理赔效率，切实减轻企业负担，到“十四五</w:t>
      </w:r>
      <w:r>
        <w:rPr>
          <w:rFonts w:ascii="宋体" w:hAnsi="宋体" w:eastAsia="宋体"/>
          <w:color w:val="000000"/>
          <w:sz w:val="28"/>
          <w:szCs w:val="28"/>
        </w:rPr>
        <w:t>”</w:t>
      </w:r>
      <w:r>
        <w:rPr>
          <w:rFonts w:hint="eastAsia" w:ascii="宋体" w:hAnsi="宋体" w:eastAsia="宋体"/>
          <w:color w:val="000000"/>
          <w:sz w:val="28"/>
          <w:szCs w:val="28"/>
        </w:rPr>
        <w:t>末实现全市建筑市场保函替代保证金的比例大幅提升</w:t>
      </w:r>
      <w:r>
        <w:rPr>
          <w:rFonts w:ascii="宋体" w:hAnsi="宋体" w:eastAsia="宋体"/>
          <w:color w:val="000000"/>
          <w:sz w:val="28"/>
          <w:szCs w:val="28"/>
        </w:rPr>
        <w:t>。同时加强对已缴纳保证金的监管力度，各职能部门按照各自职责互相配合，充分发挥监管合力，查处保证金收取退还时的违法行为。</w:t>
      </w:r>
    </w:p>
    <w:p w14:paraId="06F30F3B">
      <w:pPr>
        <w:snapToGrid w:val="0"/>
        <w:spacing w:line="336"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加快探索工程保险制度。</w:t>
      </w:r>
      <w:r>
        <w:rPr>
          <w:rFonts w:hint="eastAsia" w:ascii="宋体" w:hAnsi="宋体" w:eastAsia="宋体"/>
          <w:color w:val="000000"/>
          <w:sz w:val="28"/>
          <w:szCs w:val="28"/>
        </w:rPr>
        <w:t>积极对接金融监管机构和财产保险公司，开展工程质量潜在缺陷保险、投标保证保险、履约保证保险、农民工工资保证保险等新型工程保险的研究与试点工作，给发承包双方更多可选择的担保方式。</w:t>
      </w:r>
    </w:p>
    <w:p w14:paraId="67F03E94">
      <w:pPr>
        <w:pStyle w:val="4"/>
        <w:spacing w:before="120" w:after="120" w:line="560" w:lineRule="exact"/>
      </w:pPr>
      <w:bookmarkStart w:id="49" w:name="_Toc63321841"/>
      <w:r>
        <w:rPr>
          <w:rFonts w:hint="eastAsia"/>
        </w:rPr>
        <w:t>（三） 完善工程造价市场化机制</w:t>
      </w:r>
      <w:bookmarkEnd w:id="49"/>
    </w:p>
    <w:p w14:paraId="069DB3D2">
      <w:pPr>
        <w:spacing w:line="56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推行清单计量。</w:t>
      </w:r>
      <w:r>
        <w:rPr>
          <w:rFonts w:hint="eastAsia" w:ascii="宋体" w:hAnsi="宋体" w:eastAsia="宋体"/>
          <w:color w:val="000000"/>
          <w:sz w:val="28"/>
          <w:szCs w:val="28"/>
        </w:rPr>
        <w:t>坚持市场化改革方向，推行清单计量、市场询价、自主报价、竞争定价的工程计价方式。</w:t>
      </w:r>
    </w:p>
    <w:p w14:paraId="6B084306">
      <w:pPr>
        <w:spacing w:line="56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加强工程造价数据积累。</w:t>
      </w:r>
      <w:r>
        <w:rPr>
          <w:rFonts w:hint="eastAsia" w:ascii="宋体" w:hAnsi="宋体" w:eastAsia="宋体"/>
          <w:color w:val="000000"/>
          <w:sz w:val="28"/>
          <w:szCs w:val="28"/>
        </w:rPr>
        <w:t>建立工程造价数据库，综合运用造价指标指数和市场价格信息，控制设计限额、建造标准、合同价格，确保工程投资效益得到有效发挥。</w:t>
      </w:r>
    </w:p>
    <w:p w14:paraId="37001ED0">
      <w:pPr>
        <w:spacing w:line="56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完善市场价格信息发布平台。</w:t>
      </w:r>
      <w:r>
        <w:rPr>
          <w:rFonts w:hint="eastAsia" w:ascii="宋体" w:hAnsi="宋体" w:eastAsia="宋体"/>
          <w:color w:val="000000"/>
          <w:sz w:val="28"/>
          <w:szCs w:val="28"/>
        </w:rPr>
        <w:t>完善本市建筑市场价格信息发布平台，规范信息发布标准和规则，统一分类标准，根据工程类型、建筑结构等定期发布工程造价指标指数，发挥服务效能。</w:t>
      </w:r>
    </w:p>
    <w:p w14:paraId="40F9E139">
      <w:pPr>
        <w:spacing w:line="560" w:lineRule="exact"/>
        <w:ind w:firstLine="562" w:firstLineChars="200"/>
        <w:rPr>
          <w:rFonts w:ascii="宋体" w:hAnsi="宋体" w:eastAsia="宋体"/>
          <w:color w:val="000000"/>
          <w:sz w:val="28"/>
          <w:szCs w:val="28"/>
        </w:rPr>
      </w:pPr>
      <w:r>
        <w:rPr>
          <w:rFonts w:hint="eastAsia" w:ascii="宋体" w:hAnsi="宋体" w:eastAsia="宋体"/>
          <w:b/>
          <w:bCs/>
          <w:color w:val="000000"/>
          <w:sz w:val="28"/>
          <w:szCs w:val="28"/>
        </w:rPr>
        <w:t>强化建设单位造价管控责任。</w:t>
      </w:r>
      <w:r>
        <w:rPr>
          <w:rFonts w:hint="eastAsia" w:ascii="宋体" w:hAnsi="宋体" w:eastAsia="宋体"/>
          <w:color w:val="000000"/>
          <w:sz w:val="28"/>
          <w:szCs w:val="28"/>
        </w:rPr>
        <w:t>引导建设单位根据造价指标指数和市场价格信息等编制和确定最高投标限价，按照现行招标投标有关规定，在满足设计要求和保证工程质量前提下，充分发挥市场竞争机制，提高投资效益。</w:t>
      </w:r>
    </w:p>
    <w:p w14:paraId="359BF5D1">
      <w:pPr>
        <w:pStyle w:val="4"/>
      </w:pPr>
      <w:bookmarkStart w:id="50" w:name="_Toc63321842"/>
      <w:r>
        <w:rPr>
          <w:rFonts w:hint="eastAsia"/>
        </w:rPr>
        <w:t>（四） 深入推进建筑市场京津冀协同发展</w:t>
      </w:r>
      <w:bookmarkEnd w:id="50"/>
    </w:p>
    <w:p w14:paraId="3B323349">
      <w:pPr>
        <w:snapToGrid w:val="0"/>
        <w:spacing w:line="360"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推进统一市场准入标准和机制</w:t>
      </w:r>
      <w:r>
        <w:rPr>
          <w:rFonts w:hint="eastAsia" w:ascii="宋体" w:hAnsi="宋体" w:eastAsia="宋体"/>
          <w:color w:val="000000" w:themeColor="text1"/>
          <w:sz w:val="28"/>
          <w:szCs w:val="28"/>
          <w14:textFill>
            <w14:solidFill>
              <w14:schemeClr w14:val="tx1"/>
            </w14:solidFill>
          </w14:textFill>
        </w:rPr>
        <w:t>。逐步取消各地准入门槛，建立准入“负面清单”，互认地方审批的企业资质、人员注册资格和各类岗位证书，实现企业和人员无“门槛”自由流动。</w:t>
      </w:r>
    </w:p>
    <w:p w14:paraId="0FE641A0">
      <w:pPr>
        <w:snapToGrid w:val="0"/>
        <w:spacing w:line="360"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加强数据共享。</w:t>
      </w:r>
      <w:r>
        <w:rPr>
          <w:rFonts w:hint="eastAsia" w:ascii="宋体" w:hAnsi="宋体" w:eastAsia="宋体"/>
          <w:color w:val="000000" w:themeColor="text1"/>
          <w:sz w:val="28"/>
          <w:szCs w:val="28"/>
          <w14:textFill>
            <w14:solidFill>
              <w14:schemeClr w14:val="tx1"/>
            </w14:solidFill>
          </w14:textFill>
        </w:rPr>
        <w:t>利用政务服务大数据，明确共享交换内容和标准，建立建筑业发展指标数据、信用体系、市场监管等信息的共享交换机制，逐步建立信息数据互通互联的信息化体系，实现区域工程建设项目、从业企业、人员培训和建筑材料等信息充分共享。</w:t>
      </w:r>
    </w:p>
    <w:p w14:paraId="0F706341">
      <w:pPr>
        <w:snapToGrid w:val="0"/>
        <w:spacing w:line="360" w:lineRule="auto"/>
        <w:ind w:firstLine="562"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加强政务服务协同。</w:t>
      </w:r>
      <w:r>
        <w:rPr>
          <w:rFonts w:hint="eastAsia" w:ascii="宋体" w:hAnsi="宋体" w:eastAsia="宋体"/>
          <w:color w:val="000000" w:themeColor="text1"/>
          <w:sz w:val="28"/>
          <w:szCs w:val="28"/>
          <w14:textFill>
            <w14:solidFill>
              <w14:schemeClr w14:val="tx1"/>
            </w14:solidFill>
          </w14:textFill>
        </w:rPr>
        <w:t>落实“一网通办”和电子证照，实现区域政务服务事项无纸化和“零跑腿”办理，提升区域建筑业管理和服务水平，为区域一体化提供信息化和政务服务保障。</w:t>
      </w:r>
    </w:p>
    <w:p w14:paraId="659C7D11">
      <w:pPr>
        <w:pStyle w:val="4"/>
      </w:pPr>
      <w:bookmarkStart w:id="51" w:name="_Toc63321843"/>
      <w:r>
        <w:t>（</w:t>
      </w:r>
      <w:r>
        <w:rPr>
          <w:rFonts w:hint="eastAsia"/>
        </w:rPr>
        <w:t>五</w:t>
      </w:r>
      <w:r>
        <w:t>）</w:t>
      </w:r>
      <w:r>
        <w:rPr>
          <w:rFonts w:hint="eastAsia"/>
        </w:rPr>
        <w:t xml:space="preserve"> </w:t>
      </w:r>
      <w:r>
        <w:t>针对企业需求做好精准服务</w:t>
      </w:r>
      <w:bookmarkEnd w:id="51"/>
    </w:p>
    <w:p w14:paraId="3F76E7D1">
      <w:pPr>
        <w:snapToGrid w:val="0"/>
        <w:spacing w:line="360" w:lineRule="auto"/>
        <w:ind w:firstLine="562" w:firstLineChars="200"/>
        <w:rPr>
          <w:rFonts w:ascii="宋体" w:hAnsi="宋体" w:eastAsia="宋体"/>
          <w:color w:val="FF0000"/>
          <w:sz w:val="28"/>
          <w:szCs w:val="24"/>
        </w:rPr>
      </w:pPr>
      <w:r>
        <w:rPr>
          <w:rFonts w:hint="eastAsia" w:ascii="宋体" w:hAnsi="宋体" w:eastAsia="宋体"/>
          <w:b/>
          <w:bCs/>
          <w:color w:val="000000"/>
          <w:sz w:val="28"/>
          <w:szCs w:val="28"/>
        </w:rPr>
        <w:t>健全政企沟通协商制度。</w:t>
      </w:r>
      <w:r>
        <w:rPr>
          <w:rFonts w:hint="eastAsia" w:asciiTheme="minorEastAsia" w:hAnsiTheme="minorEastAsia" w:cstheme="minorEastAsia"/>
          <w:kern w:val="0"/>
          <w:sz w:val="28"/>
          <w:szCs w:val="24"/>
          <w:lang w:bidi="ar"/>
        </w:rPr>
        <w:t>充分发挥行业协会的</w:t>
      </w:r>
      <w:r>
        <w:rPr>
          <w:rFonts w:hint="eastAsia" w:cs="仿宋_GB2312" w:asciiTheme="minorEastAsia" w:hAnsiTheme="minorEastAsia"/>
          <w:sz w:val="28"/>
          <w:szCs w:val="24"/>
        </w:rPr>
        <w:t>桥梁纽带</w:t>
      </w:r>
      <w:r>
        <w:rPr>
          <w:rFonts w:hint="eastAsia" w:asciiTheme="minorEastAsia" w:hAnsiTheme="minorEastAsia" w:cstheme="minorEastAsia"/>
          <w:kern w:val="0"/>
          <w:sz w:val="28"/>
          <w:szCs w:val="24"/>
          <w:lang w:bidi="ar"/>
        </w:rPr>
        <w:t>作用，以服务为宗旨，</w:t>
      </w:r>
      <w:r>
        <w:rPr>
          <w:rFonts w:asciiTheme="minorEastAsia" w:hAnsiTheme="minorEastAsia"/>
          <w:sz w:val="28"/>
          <w:szCs w:val="24"/>
        </w:rPr>
        <w:t>定期开展企业调研，了解企业诉求，做到“有诉必回”。</w:t>
      </w:r>
      <w:r>
        <w:rPr>
          <w:rFonts w:hint="eastAsia" w:asciiTheme="minorEastAsia" w:hAnsiTheme="minorEastAsia"/>
          <w:sz w:val="28"/>
          <w:szCs w:val="24"/>
        </w:rPr>
        <w:t>梳理重点企业名单，制定重点企业联络工作方案。落实“首问负责制”</w:t>
      </w:r>
      <w:r>
        <w:rPr>
          <w:rFonts w:asciiTheme="minorEastAsia" w:hAnsiTheme="minorEastAsia"/>
          <w:sz w:val="28"/>
          <w:szCs w:val="24"/>
        </w:rPr>
        <w:t>制度，“一对一”跟踪、协调、解决企业发展中的困难。</w:t>
      </w:r>
    </w:p>
    <w:p w14:paraId="641E1792">
      <w:pPr>
        <w:snapToGrid w:val="0"/>
        <w:spacing w:line="360" w:lineRule="auto"/>
        <w:ind w:firstLine="562" w:firstLineChars="200"/>
        <w:rPr>
          <w:rFonts w:ascii="宋体" w:hAnsi="宋体" w:eastAsia="宋体"/>
          <w:color w:val="000000"/>
          <w:sz w:val="28"/>
          <w:szCs w:val="28"/>
        </w:rPr>
      </w:pPr>
      <w:r>
        <w:rPr>
          <w:rFonts w:hint="eastAsia" w:ascii="宋体" w:hAnsi="宋体" w:eastAsia="宋体"/>
          <w:b/>
          <w:bCs/>
          <w:color w:val="000000"/>
          <w:sz w:val="28"/>
          <w:szCs w:val="28"/>
        </w:rPr>
        <w:t>创新政府服务方式。</w:t>
      </w:r>
      <w:r>
        <w:rPr>
          <w:rFonts w:ascii="宋体" w:hAnsi="宋体" w:eastAsia="宋体"/>
          <w:color w:val="000000"/>
          <w:sz w:val="28"/>
          <w:szCs w:val="28"/>
        </w:rPr>
        <w:t>依托各职能部门组建企业服务团队，打破窗口化、固定化服务模式，满足企业个性化和全流程发展需要。</w:t>
      </w:r>
      <w:r>
        <w:rPr>
          <w:rFonts w:hint="eastAsia" w:ascii="宋体" w:hAnsi="宋体" w:eastAsia="宋体"/>
          <w:color w:val="000000"/>
          <w:sz w:val="28"/>
          <w:szCs w:val="28"/>
        </w:rPr>
        <w:t>定期组织企业培训和交流学习，拓展企业发展思路。</w:t>
      </w:r>
      <w:r>
        <w:rPr>
          <w:rFonts w:ascii="宋体" w:hAnsi="宋体" w:eastAsia="宋体"/>
          <w:color w:val="000000"/>
          <w:sz w:val="28"/>
          <w:szCs w:val="28"/>
        </w:rPr>
        <w:t>加快</w:t>
      </w:r>
      <w:r>
        <w:rPr>
          <w:rFonts w:hint="eastAsia" w:ascii="宋体" w:hAnsi="宋体" w:eastAsia="宋体"/>
          <w:color w:val="000000"/>
          <w:sz w:val="28"/>
          <w:szCs w:val="28"/>
        </w:rPr>
        <w:t>打造</w:t>
      </w:r>
      <w:r>
        <w:rPr>
          <w:rFonts w:ascii="宋体" w:hAnsi="宋体" w:eastAsia="宋体"/>
          <w:color w:val="000000"/>
          <w:sz w:val="28"/>
          <w:szCs w:val="28"/>
        </w:rPr>
        <w:t>市场化、法治化、国际化</w:t>
      </w:r>
      <w:r>
        <w:rPr>
          <w:rFonts w:hint="eastAsia" w:ascii="宋体" w:hAnsi="宋体" w:eastAsia="宋体"/>
          <w:color w:val="000000"/>
          <w:sz w:val="28"/>
          <w:szCs w:val="28"/>
        </w:rPr>
        <w:t>的</w:t>
      </w:r>
      <w:r>
        <w:rPr>
          <w:rFonts w:ascii="宋体" w:hAnsi="宋体" w:eastAsia="宋体"/>
          <w:color w:val="000000"/>
          <w:sz w:val="28"/>
          <w:szCs w:val="28"/>
        </w:rPr>
        <w:t>营商环境，打通服务企业的“最后一公里”，为企业融资、人才落户、</w:t>
      </w:r>
      <w:r>
        <w:rPr>
          <w:rFonts w:hint="eastAsia" w:ascii="宋体" w:hAnsi="宋体" w:eastAsia="宋体"/>
          <w:color w:val="000000"/>
          <w:sz w:val="28"/>
          <w:szCs w:val="28"/>
        </w:rPr>
        <w:t>办理许可</w:t>
      </w:r>
      <w:r>
        <w:rPr>
          <w:rFonts w:ascii="宋体" w:hAnsi="宋体" w:eastAsia="宋体"/>
          <w:color w:val="000000"/>
          <w:sz w:val="28"/>
          <w:szCs w:val="28"/>
        </w:rPr>
        <w:t>等提供</w:t>
      </w:r>
      <w:r>
        <w:rPr>
          <w:rFonts w:hint="eastAsia" w:ascii="宋体" w:hAnsi="宋体" w:eastAsia="宋体"/>
          <w:color w:val="000000"/>
          <w:sz w:val="28"/>
          <w:szCs w:val="28"/>
        </w:rPr>
        <w:t>全</w:t>
      </w:r>
      <w:r>
        <w:rPr>
          <w:rFonts w:ascii="宋体" w:hAnsi="宋体" w:eastAsia="宋体"/>
          <w:color w:val="000000"/>
          <w:sz w:val="28"/>
          <w:szCs w:val="28"/>
        </w:rPr>
        <w:t>生命周期服务，推动企业服务全域化、全员化。</w:t>
      </w:r>
    </w:p>
    <w:p w14:paraId="3869332A">
      <w:pPr>
        <w:snapToGrid w:val="0"/>
        <w:spacing w:line="360" w:lineRule="auto"/>
        <w:ind w:firstLine="560" w:firstLineChars="200"/>
        <w:rPr>
          <w:rFonts w:ascii="宋体" w:hAnsi="宋体" w:eastAsia="宋体"/>
          <w:color w:val="000000"/>
          <w:sz w:val="28"/>
          <w:szCs w:val="28"/>
        </w:rPr>
      </w:pPr>
    </w:p>
    <w:p w14:paraId="461646CE">
      <w:pPr>
        <w:snapToGrid w:val="0"/>
        <w:spacing w:line="360" w:lineRule="auto"/>
        <w:ind w:firstLine="560" w:firstLineChars="200"/>
        <w:rPr>
          <w:rFonts w:ascii="宋体" w:hAnsi="宋体" w:eastAsia="宋体"/>
          <w:color w:val="000000"/>
          <w:sz w:val="28"/>
          <w:szCs w:val="28"/>
        </w:rPr>
      </w:pPr>
    </w:p>
    <w:p w14:paraId="717B1C2B">
      <w:pPr>
        <w:pStyle w:val="2"/>
        <w:spacing w:line="420" w:lineRule="auto"/>
        <w:jc w:val="center"/>
        <w:rPr>
          <w:b/>
          <w:bCs w:val="0"/>
        </w:rPr>
      </w:pPr>
      <w:bookmarkStart w:id="52" w:name="_Toc63321844"/>
      <w:r>
        <w:rPr>
          <w:rFonts w:hint="eastAsia"/>
          <w:b/>
          <w:bCs w:val="0"/>
        </w:rPr>
        <w:t>第五部分</w:t>
      </w:r>
      <w:r>
        <w:rPr>
          <w:b/>
          <w:bCs w:val="0"/>
        </w:rPr>
        <w:t xml:space="preserve">  “</w:t>
      </w:r>
      <w:r>
        <w:rPr>
          <w:rFonts w:hint="eastAsia"/>
          <w:b/>
          <w:bCs w:val="0"/>
        </w:rPr>
        <w:t>十四五</w:t>
      </w:r>
      <w:r>
        <w:rPr>
          <w:b/>
          <w:bCs w:val="0"/>
        </w:rPr>
        <w:t>”</w:t>
      </w:r>
      <w:r>
        <w:rPr>
          <w:rFonts w:hint="eastAsia"/>
          <w:b/>
          <w:bCs w:val="0"/>
        </w:rPr>
        <w:t>时期天津市建筑业发展的保障措施</w:t>
      </w:r>
      <w:bookmarkEnd w:id="52"/>
    </w:p>
    <w:p w14:paraId="35999680">
      <w:pPr>
        <w:pStyle w:val="3"/>
        <w:rPr>
          <w:b/>
        </w:rPr>
      </w:pPr>
      <w:bookmarkStart w:id="53" w:name="_Toc63321845"/>
      <w:r>
        <w:rPr>
          <w:rFonts w:hint="eastAsia"/>
          <w:b/>
        </w:rPr>
        <w:t>一、坚持党的领导</w:t>
      </w:r>
      <w:bookmarkEnd w:id="53"/>
    </w:p>
    <w:p w14:paraId="3F16AF1C">
      <w:pPr>
        <w:snapToGrid w:val="0"/>
        <w:spacing w:line="420" w:lineRule="auto"/>
        <w:ind w:firstLine="560" w:firstLineChars="200"/>
        <w:rPr>
          <w:rFonts w:ascii="宋体" w:hAnsi="宋体" w:eastAsia="宋体"/>
          <w:color w:val="000000" w:themeColor="text1"/>
          <w:sz w:val="28"/>
          <w:szCs w:val="30"/>
          <w14:textFill>
            <w14:solidFill>
              <w14:schemeClr w14:val="tx1"/>
            </w14:solidFill>
          </w14:textFill>
        </w:rPr>
      </w:pPr>
      <w:r>
        <w:rPr>
          <w:rFonts w:hint="eastAsia" w:ascii="宋体" w:hAnsi="宋体" w:eastAsia="宋体"/>
          <w:color w:val="000000" w:themeColor="text1"/>
          <w:sz w:val="28"/>
          <w:szCs w:val="30"/>
          <w14:textFill>
            <w14:solidFill>
              <w14:schemeClr w14:val="tx1"/>
            </w14:solidFill>
          </w14:textFill>
        </w:rPr>
        <w:t>坚持党对规划实施的全面领导，把思想和认识统一到党的十九大和十九届五中全会精神上来，按照市委十一届九次全会的要求，充分调动一切积极因素促进规划落地。用系统观念推进各项工作，坚持协同协调、统筹兼顾、突出重点、远近结合、底线思维。</w:t>
      </w:r>
    </w:p>
    <w:p w14:paraId="4DB06E4D">
      <w:pPr>
        <w:pStyle w:val="3"/>
        <w:rPr>
          <w:b/>
        </w:rPr>
      </w:pPr>
      <w:bookmarkStart w:id="54" w:name="_Toc63321846"/>
      <w:r>
        <w:rPr>
          <w:rFonts w:hint="eastAsia"/>
          <w:b/>
        </w:rPr>
        <w:t>二、加强宣传沟通</w:t>
      </w:r>
      <w:bookmarkEnd w:id="54"/>
    </w:p>
    <w:p w14:paraId="6C9284D4">
      <w:pPr>
        <w:ind w:firstLine="560" w:firstLineChars="200"/>
        <w:rPr>
          <w:sz w:val="28"/>
        </w:rPr>
      </w:pPr>
      <w:r>
        <w:rPr>
          <w:rFonts w:hint="eastAsia"/>
          <w:sz w:val="28"/>
        </w:rPr>
        <w:t>在广大建筑业企业与从业者中做好规划的宣传工作，使“先进建造”、“天津建造”等理念深入人心，鼓足全行业的干劲。市住建委统筹其他主管机关、行业协会、广大企业，多方密切配合、协同推进，建立高效顺畅的协调机制，及时听取企业和专家意见，以“产业第一，企业家老大”的理念打造一流营商环境，共同推进我市建筑业发展。</w:t>
      </w:r>
    </w:p>
    <w:p w14:paraId="2567B8F2">
      <w:pPr>
        <w:pStyle w:val="3"/>
        <w:rPr>
          <w:b/>
        </w:rPr>
      </w:pPr>
      <w:bookmarkStart w:id="55" w:name="_Toc63321847"/>
      <w:r>
        <w:rPr>
          <w:rFonts w:hint="eastAsia"/>
          <w:b/>
        </w:rPr>
        <w:t>三、细化落实方案</w:t>
      </w:r>
      <w:bookmarkEnd w:id="55"/>
    </w:p>
    <w:p w14:paraId="4135F5A3">
      <w:pPr>
        <w:snapToGrid w:val="0"/>
        <w:spacing w:line="420" w:lineRule="auto"/>
        <w:ind w:firstLine="560" w:firstLineChars="200"/>
        <w:rPr>
          <w:rFonts w:ascii="宋体" w:hAnsi="宋体" w:eastAsia="宋体"/>
          <w:color w:val="000000" w:themeColor="text1"/>
          <w:sz w:val="28"/>
          <w:szCs w:val="30"/>
          <w14:textFill>
            <w14:solidFill>
              <w14:schemeClr w14:val="tx1"/>
            </w14:solidFill>
          </w14:textFill>
        </w:rPr>
      </w:pPr>
      <w:r>
        <w:rPr>
          <w:rFonts w:hint="eastAsia" w:ascii="宋体" w:hAnsi="宋体" w:eastAsia="宋体"/>
          <w:color w:val="000000" w:themeColor="text1"/>
          <w:sz w:val="28"/>
          <w:szCs w:val="30"/>
          <w14:textFill>
            <w14:solidFill>
              <w14:schemeClr w14:val="tx1"/>
            </w14:solidFill>
          </w14:textFill>
        </w:rPr>
        <w:t>以践行“两个维护”的政治自觉抓落实，以苦干实干的奋斗姿态抓落实，以强有力的组织领导抓落实。统筹安排规划的实施工作，明确各部门责任，以本规划为重要依据，针对本规划提出的目标、任务分解成具体的落实办法、制定工作细则，进一步明确任务指标，使规划落实情况可量化、可考核。在规划落实中及时反思工作不足，调整工作方向。</w:t>
      </w:r>
    </w:p>
    <w:p w14:paraId="5C94B6EE">
      <w:pPr>
        <w:pStyle w:val="3"/>
        <w:rPr>
          <w:b/>
        </w:rPr>
      </w:pPr>
      <w:bookmarkStart w:id="56" w:name="_Toc63321848"/>
      <w:r>
        <w:rPr>
          <w:b/>
        </w:rPr>
        <w:t>四</w:t>
      </w:r>
      <w:r>
        <w:rPr>
          <w:rFonts w:hint="eastAsia"/>
          <w:b/>
        </w:rPr>
        <w:t>、强化制度保障</w:t>
      </w:r>
      <w:bookmarkEnd w:id="56"/>
    </w:p>
    <w:p w14:paraId="503AAB37">
      <w:pPr>
        <w:snapToGrid w:val="0"/>
        <w:spacing w:line="420" w:lineRule="auto"/>
        <w:ind w:firstLine="560" w:firstLineChars="200"/>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28"/>
          <w:szCs w:val="30"/>
          <w14:textFill>
            <w14:solidFill>
              <w14:schemeClr w14:val="tx1"/>
            </w14:solidFill>
          </w14:textFill>
        </w:rPr>
        <w:t>落实党的十九届四中、五中全会要求，提升治理能力，完善治理体系。在规划实施过程中坚持改革创新、与时俱进，坚持德才兼备、选贤任能，善于自我完善、自我发展。把握好政府治理的边界，及时发现政策执行中的问题，及时填补制度漏洞。建立“有为政府”与“有效市场”双轮驱动的行业协同治理体系，以推进治理体系和治理能力现代化为契机促进建筑业发展。</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3D87B">
    <w:pPr>
      <w:snapToGrid w:val="0"/>
      <w:jc w:val="center"/>
      <w:rPr>
        <w:rFonts w:ascii="Times New Roman" w:hAnsi="Times New Roman" w:eastAsia="Times New Roman"/>
        <w:color w:val="000000"/>
        <w:sz w:val="22"/>
      </w:rPr>
    </w:pPr>
  </w:p>
  <w:p w14:paraId="5004A9BE">
    <w:pPr>
      <w:snapToGrid w:val="0"/>
      <w:rPr>
        <w:rFonts w:ascii="等线" w:hAnsi="等线" w:eastAsia="等线"/>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2FC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7ED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0D51">
    <w:pPr>
      <w:snapToGrid w:val="0"/>
      <w:jc w:val="center"/>
      <w:rPr>
        <w:rFonts w:ascii="Times New Roman" w:hAnsi="Times New Roman" w:eastAsia="Times New Roman"/>
        <w:color w:val="000000"/>
        <w:sz w:val="22"/>
      </w:rPr>
    </w:pPr>
    <w:r>
      <w:fldChar w:fldCharType="begin"/>
    </w:r>
    <w:r>
      <w:rPr>
        <w:rFonts w:ascii="Times New Roman" w:hAnsi="Times New Roman" w:eastAsia="Times New Roman"/>
        <w:sz w:val="22"/>
      </w:rPr>
      <w:instrText xml:space="preserve">PAGE</w:instrText>
    </w:r>
    <w:r>
      <w:fldChar w:fldCharType="separate"/>
    </w:r>
    <w:r>
      <w:rPr>
        <w:rFonts w:ascii="Times New Roman" w:hAnsi="Times New Roman" w:eastAsia="Times New Roman"/>
        <w:sz w:val="22"/>
      </w:rPr>
      <w:t>20</w:t>
    </w:r>
    <w:r>
      <w:fldChar w:fldCharType="end"/>
    </w:r>
  </w:p>
  <w:p w14:paraId="200ED73C">
    <w:pPr>
      <w:snapToGrid w:val="0"/>
      <w:rPr>
        <w:rFonts w:ascii="等线" w:hAnsi="等线" w:eastAsia="等线"/>
        <w:color w:val="00000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B88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87E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CA1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B0B61"/>
    <w:multiLevelType w:val="multilevel"/>
    <w:tmpl w:val="0F7B0B61"/>
    <w:lvl w:ilvl="0" w:tentative="0">
      <w:start w:val="1"/>
      <w:numFmt w:val="japaneseCounting"/>
      <w:lvlText w:val="%1、"/>
      <w:lvlJc w:val="left"/>
      <w:pPr>
        <w:ind w:left="624" w:hanging="6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7932B"/>
    <w:multiLevelType w:val="singleLevel"/>
    <w:tmpl w:val="2687932B"/>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1EC5"/>
    <w:rsid w:val="00007975"/>
    <w:rsid w:val="000115D9"/>
    <w:rsid w:val="00012471"/>
    <w:rsid w:val="000223D2"/>
    <w:rsid w:val="00025AD4"/>
    <w:rsid w:val="00034BAC"/>
    <w:rsid w:val="000421AB"/>
    <w:rsid w:val="0004317B"/>
    <w:rsid w:val="00044985"/>
    <w:rsid w:val="00046E51"/>
    <w:rsid w:val="000506CA"/>
    <w:rsid w:val="00056E24"/>
    <w:rsid w:val="00063192"/>
    <w:rsid w:val="00074523"/>
    <w:rsid w:val="00083BFA"/>
    <w:rsid w:val="0009556D"/>
    <w:rsid w:val="00096928"/>
    <w:rsid w:val="00096A17"/>
    <w:rsid w:val="000A1C1E"/>
    <w:rsid w:val="000A2D0D"/>
    <w:rsid w:val="000A3093"/>
    <w:rsid w:val="000B0724"/>
    <w:rsid w:val="000C2A7A"/>
    <w:rsid w:val="000C45D4"/>
    <w:rsid w:val="000C51B7"/>
    <w:rsid w:val="000D28C9"/>
    <w:rsid w:val="000D4558"/>
    <w:rsid w:val="000E1F14"/>
    <w:rsid w:val="000E41F4"/>
    <w:rsid w:val="000E6A18"/>
    <w:rsid w:val="000F09C5"/>
    <w:rsid w:val="000F29CA"/>
    <w:rsid w:val="000F4A85"/>
    <w:rsid w:val="000F678F"/>
    <w:rsid w:val="0010153F"/>
    <w:rsid w:val="0010364D"/>
    <w:rsid w:val="001127AE"/>
    <w:rsid w:val="001151D7"/>
    <w:rsid w:val="0011540F"/>
    <w:rsid w:val="0012108D"/>
    <w:rsid w:val="0013332E"/>
    <w:rsid w:val="0013677D"/>
    <w:rsid w:val="001370DB"/>
    <w:rsid w:val="00140C2E"/>
    <w:rsid w:val="00142A47"/>
    <w:rsid w:val="00142E89"/>
    <w:rsid w:val="0014330F"/>
    <w:rsid w:val="00143415"/>
    <w:rsid w:val="00143A30"/>
    <w:rsid w:val="00150780"/>
    <w:rsid w:val="001518EC"/>
    <w:rsid w:val="001577C9"/>
    <w:rsid w:val="00161DE4"/>
    <w:rsid w:val="0016439E"/>
    <w:rsid w:val="0016544A"/>
    <w:rsid w:val="00167EE2"/>
    <w:rsid w:val="001734A5"/>
    <w:rsid w:val="00183366"/>
    <w:rsid w:val="00190936"/>
    <w:rsid w:val="00193D4E"/>
    <w:rsid w:val="001A0DA7"/>
    <w:rsid w:val="001A21A3"/>
    <w:rsid w:val="001A2F9C"/>
    <w:rsid w:val="001B23E7"/>
    <w:rsid w:val="001B3E7C"/>
    <w:rsid w:val="001C5860"/>
    <w:rsid w:val="001E3052"/>
    <w:rsid w:val="001F02D0"/>
    <w:rsid w:val="001F41A2"/>
    <w:rsid w:val="001F5B56"/>
    <w:rsid w:val="001F5F16"/>
    <w:rsid w:val="00203BD0"/>
    <w:rsid w:val="00205E77"/>
    <w:rsid w:val="00210973"/>
    <w:rsid w:val="002114F3"/>
    <w:rsid w:val="00216622"/>
    <w:rsid w:val="00216EB9"/>
    <w:rsid w:val="00221335"/>
    <w:rsid w:val="00221928"/>
    <w:rsid w:val="00221F17"/>
    <w:rsid w:val="00223606"/>
    <w:rsid w:val="0022708A"/>
    <w:rsid w:val="00231A8F"/>
    <w:rsid w:val="00235931"/>
    <w:rsid w:val="00240E3C"/>
    <w:rsid w:val="002430EC"/>
    <w:rsid w:val="002609C2"/>
    <w:rsid w:val="00265889"/>
    <w:rsid w:val="002725FA"/>
    <w:rsid w:val="0027681D"/>
    <w:rsid w:val="00277C41"/>
    <w:rsid w:val="00281BEC"/>
    <w:rsid w:val="00281F2E"/>
    <w:rsid w:val="0028303C"/>
    <w:rsid w:val="00287620"/>
    <w:rsid w:val="0028767D"/>
    <w:rsid w:val="00287C81"/>
    <w:rsid w:val="00292C59"/>
    <w:rsid w:val="002A3CE2"/>
    <w:rsid w:val="002B39C0"/>
    <w:rsid w:val="002C0E8F"/>
    <w:rsid w:val="002C1036"/>
    <w:rsid w:val="002C37F8"/>
    <w:rsid w:val="002D2554"/>
    <w:rsid w:val="002D4B0C"/>
    <w:rsid w:val="002D7EEA"/>
    <w:rsid w:val="002E1860"/>
    <w:rsid w:val="002E3F6D"/>
    <w:rsid w:val="002F02F0"/>
    <w:rsid w:val="002F2314"/>
    <w:rsid w:val="002F48B4"/>
    <w:rsid w:val="002F679B"/>
    <w:rsid w:val="002F780F"/>
    <w:rsid w:val="00307D4C"/>
    <w:rsid w:val="003114A1"/>
    <w:rsid w:val="003116EF"/>
    <w:rsid w:val="003120AD"/>
    <w:rsid w:val="00314AF1"/>
    <w:rsid w:val="0032095E"/>
    <w:rsid w:val="00352E5C"/>
    <w:rsid w:val="003561E1"/>
    <w:rsid w:val="00367564"/>
    <w:rsid w:val="00371308"/>
    <w:rsid w:val="00373054"/>
    <w:rsid w:val="00376F96"/>
    <w:rsid w:val="00383160"/>
    <w:rsid w:val="003842D3"/>
    <w:rsid w:val="003900E4"/>
    <w:rsid w:val="003901F4"/>
    <w:rsid w:val="00393615"/>
    <w:rsid w:val="003959E3"/>
    <w:rsid w:val="00396EDE"/>
    <w:rsid w:val="003A1F96"/>
    <w:rsid w:val="003B6D3F"/>
    <w:rsid w:val="003B7542"/>
    <w:rsid w:val="003C399D"/>
    <w:rsid w:val="003C5F1B"/>
    <w:rsid w:val="003C7CAC"/>
    <w:rsid w:val="003D1562"/>
    <w:rsid w:val="003D34E6"/>
    <w:rsid w:val="003D4E64"/>
    <w:rsid w:val="003E2DB6"/>
    <w:rsid w:val="003E3D26"/>
    <w:rsid w:val="003E4AAB"/>
    <w:rsid w:val="003E7196"/>
    <w:rsid w:val="003F1A2C"/>
    <w:rsid w:val="003F1D5F"/>
    <w:rsid w:val="003F2819"/>
    <w:rsid w:val="003F65C9"/>
    <w:rsid w:val="003F7152"/>
    <w:rsid w:val="00400F3B"/>
    <w:rsid w:val="004012F3"/>
    <w:rsid w:val="00412009"/>
    <w:rsid w:val="004175CD"/>
    <w:rsid w:val="004202B2"/>
    <w:rsid w:val="0042095B"/>
    <w:rsid w:val="00430599"/>
    <w:rsid w:val="00432909"/>
    <w:rsid w:val="00433113"/>
    <w:rsid w:val="0043433F"/>
    <w:rsid w:val="004365FD"/>
    <w:rsid w:val="0044069B"/>
    <w:rsid w:val="004448B6"/>
    <w:rsid w:val="00447BCD"/>
    <w:rsid w:val="004515AF"/>
    <w:rsid w:val="00452106"/>
    <w:rsid w:val="004579D5"/>
    <w:rsid w:val="00461988"/>
    <w:rsid w:val="004625F7"/>
    <w:rsid w:val="004667D7"/>
    <w:rsid w:val="00471248"/>
    <w:rsid w:val="00476DC4"/>
    <w:rsid w:val="00477993"/>
    <w:rsid w:val="00481348"/>
    <w:rsid w:val="004817D0"/>
    <w:rsid w:val="0048314B"/>
    <w:rsid w:val="004839FA"/>
    <w:rsid w:val="00486E7F"/>
    <w:rsid w:val="004938A3"/>
    <w:rsid w:val="00493AB4"/>
    <w:rsid w:val="00494C88"/>
    <w:rsid w:val="00495717"/>
    <w:rsid w:val="00496B22"/>
    <w:rsid w:val="00496DE5"/>
    <w:rsid w:val="004B0C27"/>
    <w:rsid w:val="004B3854"/>
    <w:rsid w:val="004C2592"/>
    <w:rsid w:val="004C3DE6"/>
    <w:rsid w:val="004C5723"/>
    <w:rsid w:val="004E1D33"/>
    <w:rsid w:val="004E23D7"/>
    <w:rsid w:val="004E23F9"/>
    <w:rsid w:val="004E6055"/>
    <w:rsid w:val="004F4EF9"/>
    <w:rsid w:val="004F5848"/>
    <w:rsid w:val="004F5E46"/>
    <w:rsid w:val="005040C4"/>
    <w:rsid w:val="00504B0F"/>
    <w:rsid w:val="0050668C"/>
    <w:rsid w:val="005143B4"/>
    <w:rsid w:val="00516642"/>
    <w:rsid w:val="00525651"/>
    <w:rsid w:val="00526E33"/>
    <w:rsid w:val="005325C6"/>
    <w:rsid w:val="00534542"/>
    <w:rsid w:val="00534812"/>
    <w:rsid w:val="005374D2"/>
    <w:rsid w:val="00542594"/>
    <w:rsid w:val="00542DC2"/>
    <w:rsid w:val="00546AB5"/>
    <w:rsid w:val="00547E99"/>
    <w:rsid w:val="00550C71"/>
    <w:rsid w:val="0056241B"/>
    <w:rsid w:val="00565FC0"/>
    <w:rsid w:val="00566FBE"/>
    <w:rsid w:val="00573A23"/>
    <w:rsid w:val="005750BB"/>
    <w:rsid w:val="00577EE7"/>
    <w:rsid w:val="005832DB"/>
    <w:rsid w:val="00584CA5"/>
    <w:rsid w:val="00585040"/>
    <w:rsid w:val="00585D6B"/>
    <w:rsid w:val="00590641"/>
    <w:rsid w:val="00590ADE"/>
    <w:rsid w:val="00591529"/>
    <w:rsid w:val="00592E1C"/>
    <w:rsid w:val="005949EF"/>
    <w:rsid w:val="0059531B"/>
    <w:rsid w:val="005A37C9"/>
    <w:rsid w:val="005A4E0C"/>
    <w:rsid w:val="005A5F1F"/>
    <w:rsid w:val="005B4628"/>
    <w:rsid w:val="005C5ED6"/>
    <w:rsid w:val="005C79EA"/>
    <w:rsid w:val="005D56F6"/>
    <w:rsid w:val="005E55A6"/>
    <w:rsid w:val="005F65B9"/>
    <w:rsid w:val="00602C76"/>
    <w:rsid w:val="00603CAD"/>
    <w:rsid w:val="00606943"/>
    <w:rsid w:val="00607DF9"/>
    <w:rsid w:val="00616505"/>
    <w:rsid w:val="006170E8"/>
    <w:rsid w:val="0062213C"/>
    <w:rsid w:val="006237B6"/>
    <w:rsid w:val="006264C6"/>
    <w:rsid w:val="00633F40"/>
    <w:rsid w:val="00635BDC"/>
    <w:rsid w:val="00640852"/>
    <w:rsid w:val="006419D0"/>
    <w:rsid w:val="00642BF8"/>
    <w:rsid w:val="00645238"/>
    <w:rsid w:val="006514D5"/>
    <w:rsid w:val="00651B82"/>
    <w:rsid w:val="006530DA"/>
    <w:rsid w:val="0065414C"/>
    <w:rsid w:val="006549AD"/>
    <w:rsid w:val="00657271"/>
    <w:rsid w:val="00663A1A"/>
    <w:rsid w:val="00664ABF"/>
    <w:rsid w:val="006673AA"/>
    <w:rsid w:val="00674E6C"/>
    <w:rsid w:val="00681553"/>
    <w:rsid w:val="00682877"/>
    <w:rsid w:val="00684034"/>
    <w:rsid w:val="00684D9C"/>
    <w:rsid w:val="00686826"/>
    <w:rsid w:val="006870B2"/>
    <w:rsid w:val="0069429D"/>
    <w:rsid w:val="006974E3"/>
    <w:rsid w:val="006A1F29"/>
    <w:rsid w:val="006A42CC"/>
    <w:rsid w:val="006A7A2D"/>
    <w:rsid w:val="006B1387"/>
    <w:rsid w:val="006E0762"/>
    <w:rsid w:val="006E1CD7"/>
    <w:rsid w:val="006E7655"/>
    <w:rsid w:val="00700CC9"/>
    <w:rsid w:val="00707DE7"/>
    <w:rsid w:val="00710371"/>
    <w:rsid w:val="00712E9C"/>
    <w:rsid w:val="00714781"/>
    <w:rsid w:val="00715D3A"/>
    <w:rsid w:val="00716300"/>
    <w:rsid w:val="00724C7A"/>
    <w:rsid w:val="007279B8"/>
    <w:rsid w:val="00732EB7"/>
    <w:rsid w:val="00734394"/>
    <w:rsid w:val="00737516"/>
    <w:rsid w:val="00743F26"/>
    <w:rsid w:val="0074493E"/>
    <w:rsid w:val="00745D41"/>
    <w:rsid w:val="00754AA7"/>
    <w:rsid w:val="00756820"/>
    <w:rsid w:val="007578BD"/>
    <w:rsid w:val="00757BC3"/>
    <w:rsid w:val="007607FF"/>
    <w:rsid w:val="00766D79"/>
    <w:rsid w:val="00775C3A"/>
    <w:rsid w:val="0077765C"/>
    <w:rsid w:val="00781B1F"/>
    <w:rsid w:val="00784C2E"/>
    <w:rsid w:val="007862B3"/>
    <w:rsid w:val="007905F1"/>
    <w:rsid w:val="0079129A"/>
    <w:rsid w:val="00792690"/>
    <w:rsid w:val="007A08CA"/>
    <w:rsid w:val="007A2A9F"/>
    <w:rsid w:val="007A5826"/>
    <w:rsid w:val="007A5E1E"/>
    <w:rsid w:val="007B6131"/>
    <w:rsid w:val="007B710D"/>
    <w:rsid w:val="007C5FC9"/>
    <w:rsid w:val="007C7643"/>
    <w:rsid w:val="007D53D0"/>
    <w:rsid w:val="007D7020"/>
    <w:rsid w:val="007E1E93"/>
    <w:rsid w:val="007E337C"/>
    <w:rsid w:val="007E781F"/>
    <w:rsid w:val="007F13AE"/>
    <w:rsid w:val="007F476D"/>
    <w:rsid w:val="0080546F"/>
    <w:rsid w:val="00817AE3"/>
    <w:rsid w:val="008223F4"/>
    <w:rsid w:val="00827873"/>
    <w:rsid w:val="00827C61"/>
    <w:rsid w:val="00836A8B"/>
    <w:rsid w:val="00837FEE"/>
    <w:rsid w:val="008434F4"/>
    <w:rsid w:val="00843FAC"/>
    <w:rsid w:val="0084582F"/>
    <w:rsid w:val="00847589"/>
    <w:rsid w:val="00864F67"/>
    <w:rsid w:val="00865A8A"/>
    <w:rsid w:val="008660D7"/>
    <w:rsid w:val="00867117"/>
    <w:rsid w:val="00867462"/>
    <w:rsid w:val="008725DA"/>
    <w:rsid w:val="00872C19"/>
    <w:rsid w:val="0087390A"/>
    <w:rsid w:val="008748B8"/>
    <w:rsid w:val="00887F22"/>
    <w:rsid w:val="008923EA"/>
    <w:rsid w:val="0089362C"/>
    <w:rsid w:val="008954D8"/>
    <w:rsid w:val="0089664B"/>
    <w:rsid w:val="008A19D8"/>
    <w:rsid w:val="008A2918"/>
    <w:rsid w:val="008A5AD6"/>
    <w:rsid w:val="008C6F94"/>
    <w:rsid w:val="008D53C9"/>
    <w:rsid w:val="008E1173"/>
    <w:rsid w:val="008E365E"/>
    <w:rsid w:val="008F08BD"/>
    <w:rsid w:val="008F466A"/>
    <w:rsid w:val="008F4C19"/>
    <w:rsid w:val="008F5982"/>
    <w:rsid w:val="008F6AE6"/>
    <w:rsid w:val="008F6FA6"/>
    <w:rsid w:val="009023A1"/>
    <w:rsid w:val="00910A04"/>
    <w:rsid w:val="00914B24"/>
    <w:rsid w:val="00921989"/>
    <w:rsid w:val="00921D4F"/>
    <w:rsid w:val="00925F8F"/>
    <w:rsid w:val="00927CE9"/>
    <w:rsid w:val="00930132"/>
    <w:rsid w:val="009304A4"/>
    <w:rsid w:val="00933459"/>
    <w:rsid w:val="009351D8"/>
    <w:rsid w:val="00935820"/>
    <w:rsid w:val="00940E36"/>
    <w:rsid w:val="00944524"/>
    <w:rsid w:val="009511AB"/>
    <w:rsid w:val="00955C1B"/>
    <w:rsid w:val="00956E83"/>
    <w:rsid w:val="00957E49"/>
    <w:rsid w:val="00972A14"/>
    <w:rsid w:val="00977B9B"/>
    <w:rsid w:val="00981EB9"/>
    <w:rsid w:val="009845BD"/>
    <w:rsid w:val="00984861"/>
    <w:rsid w:val="0098612C"/>
    <w:rsid w:val="00987FAC"/>
    <w:rsid w:val="00990487"/>
    <w:rsid w:val="009A57DC"/>
    <w:rsid w:val="009A7B66"/>
    <w:rsid w:val="009C488B"/>
    <w:rsid w:val="009D1291"/>
    <w:rsid w:val="009E79AE"/>
    <w:rsid w:val="009F13F6"/>
    <w:rsid w:val="009F4F57"/>
    <w:rsid w:val="00A00899"/>
    <w:rsid w:val="00A0251F"/>
    <w:rsid w:val="00A02BF6"/>
    <w:rsid w:val="00A07123"/>
    <w:rsid w:val="00A129B5"/>
    <w:rsid w:val="00A1384A"/>
    <w:rsid w:val="00A21A11"/>
    <w:rsid w:val="00A25210"/>
    <w:rsid w:val="00A259B1"/>
    <w:rsid w:val="00A25F3B"/>
    <w:rsid w:val="00A34D43"/>
    <w:rsid w:val="00A41AB1"/>
    <w:rsid w:val="00A43162"/>
    <w:rsid w:val="00A4478C"/>
    <w:rsid w:val="00A51A2F"/>
    <w:rsid w:val="00A53279"/>
    <w:rsid w:val="00A54239"/>
    <w:rsid w:val="00A558B9"/>
    <w:rsid w:val="00A60633"/>
    <w:rsid w:val="00A610CD"/>
    <w:rsid w:val="00A714F0"/>
    <w:rsid w:val="00A86A57"/>
    <w:rsid w:val="00A879D4"/>
    <w:rsid w:val="00A91E05"/>
    <w:rsid w:val="00A954D7"/>
    <w:rsid w:val="00A9663C"/>
    <w:rsid w:val="00AA2601"/>
    <w:rsid w:val="00AA2F9C"/>
    <w:rsid w:val="00AA5993"/>
    <w:rsid w:val="00AC7241"/>
    <w:rsid w:val="00AD5F33"/>
    <w:rsid w:val="00AD75BC"/>
    <w:rsid w:val="00AE0B77"/>
    <w:rsid w:val="00AE12BE"/>
    <w:rsid w:val="00AF0F5A"/>
    <w:rsid w:val="00AF353E"/>
    <w:rsid w:val="00AF3EB8"/>
    <w:rsid w:val="00AF42C1"/>
    <w:rsid w:val="00AF48EB"/>
    <w:rsid w:val="00B00000"/>
    <w:rsid w:val="00B010DF"/>
    <w:rsid w:val="00B029B8"/>
    <w:rsid w:val="00B06E52"/>
    <w:rsid w:val="00B07204"/>
    <w:rsid w:val="00B23AAC"/>
    <w:rsid w:val="00B26873"/>
    <w:rsid w:val="00B3186D"/>
    <w:rsid w:val="00B45F1D"/>
    <w:rsid w:val="00B467C9"/>
    <w:rsid w:val="00B56599"/>
    <w:rsid w:val="00B6482E"/>
    <w:rsid w:val="00B66FB2"/>
    <w:rsid w:val="00B75908"/>
    <w:rsid w:val="00B829DF"/>
    <w:rsid w:val="00BA0398"/>
    <w:rsid w:val="00BA0C1A"/>
    <w:rsid w:val="00BA3C2A"/>
    <w:rsid w:val="00BA4B6A"/>
    <w:rsid w:val="00BA531F"/>
    <w:rsid w:val="00BA7EA3"/>
    <w:rsid w:val="00BB0A03"/>
    <w:rsid w:val="00BB3ECE"/>
    <w:rsid w:val="00BB5B2A"/>
    <w:rsid w:val="00BB761E"/>
    <w:rsid w:val="00BC1714"/>
    <w:rsid w:val="00BC591E"/>
    <w:rsid w:val="00BC7733"/>
    <w:rsid w:val="00BD187B"/>
    <w:rsid w:val="00BE1957"/>
    <w:rsid w:val="00BF1DD1"/>
    <w:rsid w:val="00BF67C2"/>
    <w:rsid w:val="00C0088A"/>
    <w:rsid w:val="00C03960"/>
    <w:rsid w:val="00C0594A"/>
    <w:rsid w:val="00C061CB"/>
    <w:rsid w:val="00C07AD0"/>
    <w:rsid w:val="00C1013D"/>
    <w:rsid w:val="00C121DC"/>
    <w:rsid w:val="00C1342B"/>
    <w:rsid w:val="00C152CC"/>
    <w:rsid w:val="00C17E85"/>
    <w:rsid w:val="00C251A8"/>
    <w:rsid w:val="00C3198F"/>
    <w:rsid w:val="00C360AF"/>
    <w:rsid w:val="00C43E0F"/>
    <w:rsid w:val="00C45AEE"/>
    <w:rsid w:val="00C47482"/>
    <w:rsid w:val="00C51F67"/>
    <w:rsid w:val="00C5730C"/>
    <w:rsid w:val="00C57ECB"/>
    <w:rsid w:val="00C604EC"/>
    <w:rsid w:val="00C63965"/>
    <w:rsid w:val="00C65248"/>
    <w:rsid w:val="00C71C52"/>
    <w:rsid w:val="00C71F06"/>
    <w:rsid w:val="00C77987"/>
    <w:rsid w:val="00C80CEA"/>
    <w:rsid w:val="00C82899"/>
    <w:rsid w:val="00C82DC3"/>
    <w:rsid w:val="00C8363E"/>
    <w:rsid w:val="00C9430B"/>
    <w:rsid w:val="00C94D45"/>
    <w:rsid w:val="00C9672A"/>
    <w:rsid w:val="00CA0137"/>
    <w:rsid w:val="00CB3884"/>
    <w:rsid w:val="00CB582E"/>
    <w:rsid w:val="00CB5CB3"/>
    <w:rsid w:val="00CC5CA8"/>
    <w:rsid w:val="00CD21F6"/>
    <w:rsid w:val="00CD366A"/>
    <w:rsid w:val="00CD47F2"/>
    <w:rsid w:val="00CD61A5"/>
    <w:rsid w:val="00CD7D7F"/>
    <w:rsid w:val="00CE28B0"/>
    <w:rsid w:val="00CF4506"/>
    <w:rsid w:val="00CF6FCF"/>
    <w:rsid w:val="00D03249"/>
    <w:rsid w:val="00D071CD"/>
    <w:rsid w:val="00D105AA"/>
    <w:rsid w:val="00D140A4"/>
    <w:rsid w:val="00D24D01"/>
    <w:rsid w:val="00D25B5A"/>
    <w:rsid w:val="00D26D78"/>
    <w:rsid w:val="00D31BC8"/>
    <w:rsid w:val="00D35F79"/>
    <w:rsid w:val="00D37A91"/>
    <w:rsid w:val="00D37C1B"/>
    <w:rsid w:val="00D438DC"/>
    <w:rsid w:val="00D43B76"/>
    <w:rsid w:val="00D4469D"/>
    <w:rsid w:val="00D44C63"/>
    <w:rsid w:val="00D570AB"/>
    <w:rsid w:val="00D65694"/>
    <w:rsid w:val="00D67576"/>
    <w:rsid w:val="00D71D09"/>
    <w:rsid w:val="00D81A77"/>
    <w:rsid w:val="00D839C7"/>
    <w:rsid w:val="00D842CC"/>
    <w:rsid w:val="00D86A53"/>
    <w:rsid w:val="00D87DB5"/>
    <w:rsid w:val="00D9057B"/>
    <w:rsid w:val="00D92635"/>
    <w:rsid w:val="00DA6066"/>
    <w:rsid w:val="00DB49AC"/>
    <w:rsid w:val="00DB4A16"/>
    <w:rsid w:val="00DB4F08"/>
    <w:rsid w:val="00DC273F"/>
    <w:rsid w:val="00DC33EB"/>
    <w:rsid w:val="00DC3C1B"/>
    <w:rsid w:val="00DC62B4"/>
    <w:rsid w:val="00DC7609"/>
    <w:rsid w:val="00DD2F17"/>
    <w:rsid w:val="00DD5AF5"/>
    <w:rsid w:val="00DD661C"/>
    <w:rsid w:val="00DD6AEE"/>
    <w:rsid w:val="00DD74AF"/>
    <w:rsid w:val="00DE30C1"/>
    <w:rsid w:val="00DF0193"/>
    <w:rsid w:val="00DF5BA0"/>
    <w:rsid w:val="00E12993"/>
    <w:rsid w:val="00E1526A"/>
    <w:rsid w:val="00E15FCC"/>
    <w:rsid w:val="00E204D8"/>
    <w:rsid w:val="00E22328"/>
    <w:rsid w:val="00E24167"/>
    <w:rsid w:val="00E24242"/>
    <w:rsid w:val="00E248D9"/>
    <w:rsid w:val="00E26251"/>
    <w:rsid w:val="00E26A50"/>
    <w:rsid w:val="00E311F9"/>
    <w:rsid w:val="00E31A01"/>
    <w:rsid w:val="00E34082"/>
    <w:rsid w:val="00E4024B"/>
    <w:rsid w:val="00E46B93"/>
    <w:rsid w:val="00E5672A"/>
    <w:rsid w:val="00E610A3"/>
    <w:rsid w:val="00E61B0A"/>
    <w:rsid w:val="00E6375F"/>
    <w:rsid w:val="00E65725"/>
    <w:rsid w:val="00E662DB"/>
    <w:rsid w:val="00E72731"/>
    <w:rsid w:val="00E80F2C"/>
    <w:rsid w:val="00E816C5"/>
    <w:rsid w:val="00E82100"/>
    <w:rsid w:val="00E8225F"/>
    <w:rsid w:val="00E86A21"/>
    <w:rsid w:val="00E87116"/>
    <w:rsid w:val="00E925E8"/>
    <w:rsid w:val="00E93E97"/>
    <w:rsid w:val="00EA128C"/>
    <w:rsid w:val="00EA1EE8"/>
    <w:rsid w:val="00EA2BC7"/>
    <w:rsid w:val="00EA3658"/>
    <w:rsid w:val="00EA5FC0"/>
    <w:rsid w:val="00EA6A57"/>
    <w:rsid w:val="00EA718C"/>
    <w:rsid w:val="00EB029F"/>
    <w:rsid w:val="00EB22C9"/>
    <w:rsid w:val="00EB3A46"/>
    <w:rsid w:val="00EB3C72"/>
    <w:rsid w:val="00EB3CAF"/>
    <w:rsid w:val="00EB5177"/>
    <w:rsid w:val="00EC5EAA"/>
    <w:rsid w:val="00EC7486"/>
    <w:rsid w:val="00ED000E"/>
    <w:rsid w:val="00ED055F"/>
    <w:rsid w:val="00ED1F3B"/>
    <w:rsid w:val="00ED2ACC"/>
    <w:rsid w:val="00ED4DBE"/>
    <w:rsid w:val="00ED522E"/>
    <w:rsid w:val="00ED66B0"/>
    <w:rsid w:val="00EE21DD"/>
    <w:rsid w:val="00EE40F5"/>
    <w:rsid w:val="00EE44A1"/>
    <w:rsid w:val="00EF0448"/>
    <w:rsid w:val="00EF1557"/>
    <w:rsid w:val="00EF5527"/>
    <w:rsid w:val="00F10170"/>
    <w:rsid w:val="00F15358"/>
    <w:rsid w:val="00F222A8"/>
    <w:rsid w:val="00F24FE4"/>
    <w:rsid w:val="00F34CC1"/>
    <w:rsid w:val="00F35ABE"/>
    <w:rsid w:val="00F3770A"/>
    <w:rsid w:val="00F42F8E"/>
    <w:rsid w:val="00F457C7"/>
    <w:rsid w:val="00F45AA7"/>
    <w:rsid w:val="00F53662"/>
    <w:rsid w:val="00F57500"/>
    <w:rsid w:val="00F5752B"/>
    <w:rsid w:val="00F60587"/>
    <w:rsid w:val="00F621D6"/>
    <w:rsid w:val="00F62B73"/>
    <w:rsid w:val="00F655CD"/>
    <w:rsid w:val="00F70171"/>
    <w:rsid w:val="00F741C2"/>
    <w:rsid w:val="00F82CA9"/>
    <w:rsid w:val="00F91CC1"/>
    <w:rsid w:val="00F922C9"/>
    <w:rsid w:val="00FA40A5"/>
    <w:rsid w:val="00FA5A1C"/>
    <w:rsid w:val="00FA5C80"/>
    <w:rsid w:val="00FB00E9"/>
    <w:rsid w:val="00FB06C5"/>
    <w:rsid w:val="00FB12D0"/>
    <w:rsid w:val="00FC23BD"/>
    <w:rsid w:val="00FC2929"/>
    <w:rsid w:val="00FC6401"/>
    <w:rsid w:val="00FD06C5"/>
    <w:rsid w:val="00FD2F0E"/>
    <w:rsid w:val="00FD4591"/>
    <w:rsid w:val="00FD5A35"/>
    <w:rsid w:val="00FF324E"/>
    <w:rsid w:val="00FF3D3F"/>
    <w:rsid w:val="00FF61E0"/>
    <w:rsid w:val="05752D90"/>
    <w:rsid w:val="083D07F0"/>
    <w:rsid w:val="105E3B74"/>
    <w:rsid w:val="17752BC1"/>
    <w:rsid w:val="1C2C4424"/>
    <w:rsid w:val="1CD54CE6"/>
    <w:rsid w:val="1DEC38DC"/>
    <w:rsid w:val="228F359A"/>
    <w:rsid w:val="28051A43"/>
    <w:rsid w:val="2B1E1FD3"/>
    <w:rsid w:val="30456175"/>
    <w:rsid w:val="33DA4E15"/>
    <w:rsid w:val="36772279"/>
    <w:rsid w:val="434067C1"/>
    <w:rsid w:val="451B2B2B"/>
    <w:rsid w:val="470F30F2"/>
    <w:rsid w:val="4E6F1402"/>
    <w:rsid w:val="50950E7A"/>
    <w:rsid w:val="568D20C3"/>
    <w:rsid w:val="6B96222D"/>
    <w:rsid w:val="6EAF13B0"/>
    <w:rsid w:val="6F4A43B1"/>
    <w:rsid w:val="71061E72"/>
    <w:rsid w:val="71E32609"/>
    <w:rsid w:val="7A3B2499"/>
    <w:rsid w:val="7C7A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60" w:after="360" w:line="540" w:lineRule="auto"/>
      <w:outlineLvl w:val="0"/>
    </w:pPr>
    <w:rPr>
      <w:bCs/>
      <w:kern w:val="44"/>
      <w:sz w:val="32"/>
      <w:szCs w:val="44"/>
    </w:rPr>
  </w:style>
  <w:style w:type="paragraph" w:styleId="3">
    <w:name w:val="heading 2"/>
    <w:basedOn w:val="1"/>
    <w:next w:val="1"/>
    <w:link w:val="24"/>
    <w:unhideWhenUsed/>
    <w:qFormat/>
    <w:uiPriority w:val="9"/>
    <w:pPr>
      <w:keepNext/>
      <w:keepLines/>
      <w:spacing w:before="300" w:after="300" w:line="415" w:lineRule="auto"/>
      <w:outlineLvl w:val="1"/>
    </w:pPr>
    <w:rPr>
      <w:rFonts w:asciiTheme="majorHAnsi" w:hAnsiTheme="majorHAnsi" w:eastAsiaTheme="majorEastAsia" w:cstheme="majorBidi"/>
      <w:bCs/>
      <w:sz w:val="30"/>
      <w:szCs w:val="32"/>
    </w:rPr>
  </w:style>
  <w:style w:type="paragraph" w:styleId="4">
    <w:name w:val="heading 3"/>
    <w:basedOn w:val="1"/>
    <w:next w:val="1"/>
    <w:link w:val="26"/>
    <w:unhideWhenUsed/>
    <w:qFormat/>
    <w:uiPriority w:val="9"/>
    <w:pPr>
      <w:keepNext/>
      <w:keepLines/>
      <w:spacing w:before="180" w:after="180" w:line="360" w:lineRule="auto"/>
      <w:outlineLvl w:val="2"/>
    </w:pPr>
    <w:rPr>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3"/>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5"/>
    <w:link w:val="7"/>
    <w:semiHidden/>
    <w:qFormat/>
    <w:uiPriority w:val="99"/>
    <w:rPr>
      <w:kern w:val="2"/>
      <w:sz w:val="18"/>
      <w:szCs w:val="18"/>
    </w:rPr>
  </w:style>
  <w:style w:type="character" w:customStyle="1" w:styleId="22">
    <w:name w:val="批注文字 字符"/>
    <w:basedOn w:val="15"/>
    <w:link w:val="5"/>
    <w:semiHidden/>
    <w:qFormat/>
    <w:uiPriority w:val="99"/>
    <w:rPr>
      <w:kern w:val="2"/>
      <w:sz w:val="21"/>
      <w:szCs w:val="22"/>
    </w:rPr>
  </w:style>
  <w:style w:type="character" w:customStyle="1" w:styleId="23">
    <w:name w:val="批注主题 字符"/>
    <w:basedOn w:val="22"/>
    <w:link w:val="12"/>
    <w:semiHidden/>
    <w:qFormat/>
    <w:uiPriority w:val="99"/>
    <w:rPr>
      <w:b/>
      <w:bCs/>
      <w:kern w:val="2"/>
      <w:sz w:val="21"/>
      <w:szCs w:val="22"/>
    </w:rPr>
  </w:style>
  <w:style w:type="character" w:customStyle="1" w:styleId="24">
    <w:name w:val="标题 2 字符"/>
    <w:basedOn w:val="15"/>
    <w:link w:val="3"/>
    <w:qFormat/>
    <w:uiPriority w:val="9"/>
    <w:rPr>
      <w:rFonts w:asciiTheme="majorHAnsi" w:hAnsiTheme="majorHAnsi" w:eastAsiaTheme="majorEastAsia" w:cstheme="majorBidi"/>
      <w:bCs/>
      <w:kern w:val="2"/>
      <w:sz w:val="30"/>
      <w:szCs w:val="32"/>
    </w:rPr>
  </w:style>
  <w:style w:type="character" w:customStyle="1" w:styleId="25">
    <w:name w:val="标题 1 字符"/>
    <w:basedOn w:val="15"/>
    <w:link w:val="2"/>
    <w:qFormat/>
    <w:uiPriority w:val="9"/>
    <w:rPr>
      <w:bCs/>
      <w:kern w:val="44"/>
      <w:sz w:val="32"/>
      <w:szCs w:val="44"/>
    </w:rPr>
  </w:style>
  <w:style w:type="character" w:customStyle="1" w:styleId="26">
    <w:name w:val="标题 3 字符"/>
    <w:basedOn w:val="15"/>
    <w:link w:val="4"/>
    <w:qFormat/>
    <w:uiPriority w:val="9"/>
    <w:rPr>
      <w:b/>
      <w:bCs/>
      <w:kern w:val="2"/>
      <w:sz w:val="28"/>
      <w:szCs w:val="32"/>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7224</Words>
  <Characters>7486</Characters>
  <Lines>528</Lines>
  <Paragraphs>227</Paragraphs>
  <TotalTime>3</TotalTime>
  <ScaleCrop>false</ScaleCrop>
  <LinksUpToDate>false</LinksUpToDate>
  <CharactersWithSpaces>7761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2021-02-04T01:06:00Z</dcterms:created>
  <dc:creator>Tencent</dc:creator>
  <cp:lastModifiedBy>李静</cp:lastModifiedBy>
  <cp:lastPrinted>2021-02-03T17:51:00Z</cp:lastPrinted>
  <dcterms:modified xsi:type="dcterms:W3CDTF">2025-03-05T07:24:36Z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DocHome">
    <vt:i4>-97071818</vt:i4>
  </property>
  <property fmtid="{D5CDD505-2E9C-101B-9397-08002B2CF9AE}" pid="4" name="ICV">
    <vt:lpwstr>AD2C8362B8AC4B718BC81F084EBD67E4_12</vt:lpwstr>
  </property>
  <property fmtid="{D5CDD505-2E9C-101B-9397-08002B2CF9AE}" pid="5" name="KSOTemplateDocerSaveRecord">
    <vt:lpwstr>eyJoZGlkIjoiNjdjYjYxYTkwMmM1M2JkZTE1MzBlMjg5NjQyNDIxYzcifQ==</vt:lpwstr>
  </property>
</Properties>
</file>