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99" w:rsidRPr="00A059A3" w:rsidRDefault="00A059A3">
      <w:pPr>
        <w:pStyle w:val="a6"/>
        <w:spacing w:beforeAutospacing="0" w:afterAutospacing="0" w:line="258" w:lineRule="atLeast"/>
        <w:ind w:firstLineChars="200" w:firstLine="640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A059A3">
        <w:rPr>
          <w:rFonts w:ascii="黑体" w:eastAsia="黑体" w:hAnsi="黑体" w:cs="宋体" w:hint="eastAsia"/>
          <w:color w:val="000000" w:themeColor="text1"/>
          <w:sz w:val="32"/>
          <w:szCs w:val="32"/>
        </w:rPr>
        <w:t>附件</w:t>
      </w:r>
    </w:p>
    <w:p w:rsidR="00C30099" w:rsidRPr="00A059A3" w:rsidRDefault="002D2980">
      <w:pPr>
        <w:pStyle w:val="a6"/>
        <w:spacing w:beforeAutospacing="0" w:afterAutospacing="0" w:line="258" w:lineRule="atLeast"/>
        <w:ind w:firstLineChars="200" w:firstLine="80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32"/>
        </w:rPr>
      </w:pPr>
      <w:r w:rsidRPr="00A059A3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32"/>
        </w:rPr>
        <w:t>绿色建筑标识项目概况</w:t>
      </w:r>
    </w:p>
    <w:tbl>
      <w:tblPr>
        <w:tblpPr w:leftFromText="180" w:rightFromText="180" w:vertAnchor="text" w:horzAnchor="page" w:tblpX="1496" w:tblpY="121"/>
        <w:tblOverlap w:val="never"/>
        <w:tblW w:w="1416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05"/>
        <w:gridCol w:w="2190"/>
        <w:gridCol w:w="2790"/>
        <w:gridCol w:w="3567"/>
        <w:gridCol w:w="2199"/>
      </w:tblGrid>
      <w:tr w:rsidR="00C30099"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  <w:t>项目类型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  <w:t>项目名称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  <w:t>申报单位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  <w:t>项目所在地</w:t>
            </w:r>
          </w:p>
        </w:tc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  <w:t>建筑面积（万平方米）</w:t>
            </w:r>
          </w:p>
        </w:tc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  <w:t>标识星级</w:t>
            </w:r>
          </w:p>
        </w:tc>
      </w:tr>
      <w:tr w:rsidR="00C30099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公共建筑</w:t>
            </w:r>
          </w:p>
        </w:tc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中海油天津研发产业基地建设项目</w:t>
            </w:r>
            <w:r>
              <w:rPr>
                <w:rFonts w:ascii="Times New Roman" w:eastAsia="宋体" w:hAnsi="Times New Roman" w:hint="eastAsia"/>
              </w:rPr>
              <w:t>4</w:t>
            </w:r>
            <w:r>
              <w:rPr>
                <w:rFonts w:ascii="Times New Roman" w:eastAsia="宋体" w:hAnsi="Times New Roman" w:hint="eastAsia"/>
              </w:rPr>
              <w:t>号楼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中海油基建管理有限责任公司天津分公司、天津建科建筑节能环境检测有限公司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天津市</w:t>
            </w:r>
            <w:r>
              <w:rPr>
                <w:rFonts w:ascii="Times New Roman" w:eastAsia="宋体" w:hAnsi="Times New Roman" w:hint="eastAsia"/>
              </w:rPr>
              <w:t>滨海新区</w:t>
            </w:r>
          </w:p>
        </w:tc>
        <w:tc>
          <w:tcPr>
            <w:tcW w:w="3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jc w:val="center"/>
              <w:rPr>
                <w:rFonts w:ascii="Times New Roman" w:eastAsia="宋体" w:hAnsi="Times New Roman"/>
                <w:lang w:val="en"/>
              </w:rPr>
            </w:pPr>
            <w:r>
              <w:rPr>
                <w:rFonts w:ascii="Times New Roman" w:eastAsia="宋体" w:hAnsi="Times New Roman"/>
                <w:lang w:val="en"/>
              </w:rPr>
              <w:t>1.82</w:t>
            </w:r>
          </w:p>
        </w:tc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color w:val="4C5157"/>
              </w:rPr>
              <w:t>★★</w:t>
            </w:r>
          </w:p>
        </w:tc>
      </w:tr>
      <w:tr w:rsidR="00C30099">
        <w:trPr>
          <w:trHeight w:val="519"/>
        </w:trPr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  <w:t>关键技术指标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center"/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color w:val="4C5157"/>
                <w:sz w:val="28"/>
                <w:szCs w:val="28"/>
              </w:rPr>
              <w:t>指标值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建筑运行碳排放强度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  <w:lang w:val="en"/>
              </w:rPr>
              <w:t>67.53</w:t>
            </w:r>
            <w:r>
              <w:rPr>
                <w:rFonts w:ascii="Times New Roman" w:eastAsia="宋体" w:hAnsi="Times New Roman"/>
                <w:kern w:val="2"/>
              </w:rPr>
              <w:t>kgCO</w:t>
            </w:r>
            <w:r>
              <w:rPr>
                <w:rFonts w:ascii="Times New Roman" w:eastAsia="宋体" w:hAnsi="Times New Roman"/>
                <w:kern w:val="2"/>
                <w:vertAlign w:val="subscript"/>
              </w:rPr>
              <w:t>2</w:t>
            </w:r>
            <w:r>
              <w:rPr>
                <w:rFonts w:ascii="Times New Roman" w:eastAsia="宋体" w:hAnsi="Times New Roman"/>
                <w:kern w:val="2"/>
              </w:rPr>
              <w:t>/</w:t>
            </w:r>
            <w:r>
              <w:rPr>
                <w:rFonts w:ascii="Times New Roman" w:eastAsia="宋体" w:hAnsi="Times New Roman"/>
                <w:kern w:val="2"/>
              </w:rPr>
              <w:t>（</w:t>
            </w:r>
            <w:r>
              <w:rPr>
                <w:rFonts w:ascii="Times New Roman" w:eastAsia="宋体" w:hAnsi="Times New Roman"/>
                <w:kern w:val="2"/>
              </w:rPr>
              <w:t>m</w:t>
            </w:r>
            <w:r>
              <w:rPr>
                <w:rFonts w:ascii="Times New Roman" w:eastAsia="宋体" w:hAnsi="Times New Roman"/>
                <w:kern w:val="2"/>
                <w:vertAlign w:val="superscript"/>
              </w:rPr>
              <w:t>2</w:t>
            </w:r>
            <w:r>
              <w:rPr>
                <w:rFonts w:ascii="Times New Roman" w:eastAsia="宋体" w:hAnsi="Times New Roman"/>
                <w:kern w:val="2"/>
              </w:rPr>
              <w:t>·a</w:t>
            </w:r>
            <w:r>
              <w:rPr>
                <w:rFonts w:ascii="Times New Roman" w:eastAsia="宋体" w:hAnsi="Times New Roman"/>
                <w:kern w:val="2"/>
              </w:rPr>
              <w:t>）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围护结构热工性能</w:t>
            </w:r>
            <w:r>
              <w:rPr>
                <w:rFonts w:ascii="Times New Roman" w:eastAsia="宋体" w:hAnsi="Times New Roman" w:hint="eastAsia"/>
                <w:kern w:val="2"/>
              </w:rPr>
              <w:t>（或建筑供暖空调负荷）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围护结构热工性能提高</w:t>
            </w:r>
            <w:r>
              <w:rPr>
                <w:rFonts w:ascii="Times New Roman" w:eastAsia="宋体" w:hAnsi="Times New Roman" w:cs="Times New Roman"/>
                <w:sz w:val="24"/>
              </w:rPr>
              <w:t>10.00%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；建筑供暖空调负荷降低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/%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严寒和寒冷地区住宅建筑外窗传热系数降低比例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/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节水器具用水效率等级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  <w:lang w:val="en"/>
              </w:rPr>
              <w:t>50%</w:t>
            </w:r>
            <w:r>
              <w:rPr>
                <w:rFonts w:ascii="Times New Roman" w:eastAsia="宋体" w:hAnsi="Times New Roman" w:hint="eastAsia"/>
                <w:kern w:val="2"/>
                <w:lang w:val="en"/>
              </w:rPr>
              <w:t>以上达到</w:t>
            </w:r>
            <w:r>
              <w:rPr>
                <w:rFonts w:ascii="Times New Roman" w:eastAsia="宋体" w:hAnsi="Times New Roman" w:hint="eastAsia"/>
                <w:kern w:val="2"/>
              </w:rPr>
              <w:t>1</w:t>
            </w:r>
            <w:r>
              <w:rPr>
                <w:rFonts w:ascii="Times New Roman" w:eastAsia="宋体" w:hAnsi="Times New Roman" w:hint="eastAsia"/>
                <w:kern w:val="2"/>
              </w:rPr>
              <w:t>级且其他达到</w:t>
            </w:r>
            <w:r>
              <w:rPr>
                <w:rFonts w:ascii="Times New Roman" w:eastAsia="宋体" w:hAnsi="Times New Roman" w:hint="eastAsia"/>
                <w:kern w:val="2"/>
              </w:rPr>
              <w:t>2</w:t>
            </w:r>
            <w:r>
              <w:rPr>
                <w:rFonts w:ascii="Times New Roman" w:eastAsia="宋体" w:hAnsi="Times New Roman" w:hint="eastAsia"/>
                <w:kern w:val="2"/>
              </w:rPr>
              <w:t>级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建筑</w:t>
            </w:r>
            <w:r>
              <w:rPr>
                <w:rFonts w:ascii="Times New Roman" w:eastAsia="宋体" w:hAnsi="Times New Roman"/>
                <w:kern w:val="2"/>
              </w:rPr>
              <w:t>隔声性能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房间隔声性能达到低限和高限平均值；楼板撞击隔声性能达到高限值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室内主要空气污染物浓度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比国家标准</w:t>
            </w:r>
            <w:r>
              <w:rPr>
                <w:rFonts w:ascii="Times New Roman" w:eastAsia="宋体" w:hAnsi="Times New Roman"/>
                <w:kern w:val="2"/>
              </w:rPr>
              <w:t>GB/T18883</w:t>
            </w:r>
            <w:r>
              <w:rPr>
                <w:rFonts w:ascii="Times New Roman" w:eastAsia="宋体" w:hAnsi="Times New Roman"/>
                <w:kern w:val="2"/>
              </w:rPr>
              <w:t>限值降低</w:t>
            </w:r>
            <w:r>
              <w:rPr>
                <w:rFonts w:ascii="Times New Roman" w:eastAsia="宋体" w:hAnsi="Times New Roman" w:hint="eastAsia"/>
                <w:kern w:val="2"/>
              </w:rPr>
              <w:t>20.00</w:t>
            </w:r>
            <w:r>
              <w:rPr>
                <w:rFonts w:ascii="Times New Roman" w:eastAsia="宋体" w:hAnsi="Times New Roman"/>
                <w:kern w:val="2"/>
              </w:rPr>
              <w:t>%</w:t>
            </w:r>
            <w:r>
              <w:rPr>
                <w:rFonts w:ascii="Times New Roman" w:eastAsia="宋体" w:hAnsi="Times New Roman"/>
                <w:kern w:val="2"/>
              </w:rPr>
              <w:t>（</w:t>
            </w:r>
            <w:r>
              <w:rPr>
                <w:rFonts w:ascii="Times New Roman" w:eastAsia="宋体" w:hAnsi="Times New Roman" w:hint="eastAsia"/>
                <w:kern w:val="2"/>
              </w:rPr>
              <w:t>甲醛</w:t>
            </w:r>
            <w:r>
              <w:rPr>
                <w:rFonts w:ascii="Times New Roman" w:eastAsia="宋体" w:hAnsi="Times New Roman"/>
                <w:kern w:val="2"/>
              </w:rPr>
              <w:t>）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外窗气密、水密、抗风压性能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 w:rsidP="00A059A3">
            <w:pPr>
              <w:pStyle w:val="a6"/>
              <w:widowControl/>
              <w:spacing w:beforeAutospacing="0" w:afterAutospacing="0" w:line="28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外窗气密、水密、抗风压性能符合国家标准规定，外窗洞口与外窗本体结合严密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全装修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全装修质量符合国家标准规定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绿地率</w:t>
            </w:r>
            <w:bookmarkStart w:id="0" w:name="_GoBack"/>
            <w:bookmarkEnd w:id="0"/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22.37</w:t>
            </w:r>
            <w:r>
              <w:rPr>
                <w:rFonts w:ascii="Times New Roman" w:eastAsia="宋体" w:hAnsi="Times New Roman" w:cs="Times New Roman"/>
                <w:sz w:val="24"/>
              </w:rPr>
              <w:t>%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年径流总量控制率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85.00</w:t>
            </w:r>
            <w:r>
              <w:rPr>
                <w:rFonts w:ascii="Times New Roman" w:eastAsia="宋体" w:hAnsi="Times New Roman"/>
                <w:kern w:val="2"/>
              </w:rPr>
              <w:t>%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可再生能源利用率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由可再生能源提供的生活用热水比例</w:t>
            </w:r>
            <w:r>
              <w:rPr>
                <w:rFonts w:ascii="Times New Roman" w:eastAsia="宋体" w:hAnsi="Times New Roman" w:hint="eastAsia"/>
                <w:kern w:val="2"/>
              </w:rPr>
              <w:t>/%</w:t>
            </w:r>
            <w:r>
              <w:rPr>
                <w:rFonts w:ascii="Times New Roman" w:eastAsia="宋体" w:hAnsi="Times New Roman" w:hint="eastAsia"/>
                <w:kern w:val="2"/>
              </w:rPr>
              <w:t>、</w:t>
            </w:r>
          </w:p>
          <w:p w:rsidR="00C30099" w:rsidRDefault="002D2980">
            <w:pPr>
              <w:pStyle w:val="a6"/>
              <w:widowControl/>
              <w:spacing w:beforeAutospacing="0" w:afterAutospacing="0" w:line="36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由可再生能源提供的空调用冷量和热量比例</w:t>
            </w:r>
            <w:r>
              <w:rPr>
                <w:rFonts w:ascii="Times New Roman" w:eastAsia="宋体" w:hAnsi="Times New Roman" w:hint="eastAsia"/>
                <w:kern w:val="2"/>
              </w:rPr>
              <w:t>65.8</w:t>
            </w:r>
            <w:r>
              <w:rPr>
                <w:rFonts w:ascii="Times New Roman" w:eastAsia="宋体" w:hAnsi="Times New Roman"/>
                <w:kern w:val="2"/>
                <w:lang w:val="en"/>
              </w:rPr>
              <w:t>2</w:t>
            </w:r>
            <w:r>
              <w:rPr>
                <w:rFonts w:ascii="Times New Roman" w:eastAsia="宋体" w:hAnsi="Times New Roman" w:hint="eastAsia"/>
                <w:kern w:val="2"/>
              </w:rPr>
              <w:t>%</w:t>
            </w:r>
            <w:r>
              <w:rPr>
                <w:rFonts w:ascii="Times New Roman" w:eastAsia="宋体" w:hAnsi="Times New Roman" w:hint="eastAsia"/>
                <w:kern w:val="2"/>
              </w:rPr>
              <w:t>、</w:t>
            </w:r>
          </w:p>
          <w:p w:rsidR="00C30099" w:rsidRDefault="002D2980">
            <w:pPr>
              <w:pStyle w:val="a6"/>
              <w:widowControl/>
              <w:spacing w:beforeAutospacing="0" w:afterAutospacing="0" w:line="36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由可再生能源提供的电量比例</w:t>
            </w:r>
            <w:r>
              <w:rPr>
                <w:rFonts w:ascii="Times New Roman" w:eastAsia="宋体" w:hAnsi="Times New Roman" w:hint="eastAsia"/>
                <w:kern w:val="2"/>
              </w:rPr>
              <w:t>/%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非传统水源利用率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绿化灌溉、车库及道路冲洗、洗车</w:t>
            </w:r>
            <w:r>
              <w:rPr>
                <w:rFonts w:ascii="Times New Roman" w:eastAsia="宋体" w:hAnsi="Times New Roman" w:cs="Times New Roman"/>
                <w:sz w:val="24"/>
              </w:rPr>
              <w:t>100%</w:t>
            </w:r>
            <w:r>
              <w:rPr>
                <w:rFonts w:ascii="Times New Roman" w:eastAsia="宋体" w:hAnsi="Times New Roman" w:cs="Times New Roman"/>
                <w:sz w:val="24"/>
              </w:rPr>
              <w:t>；冲厕</w:t>
            </w:r>
            <w:r>
              <w:rPr>
                <w:rFonts w:ascii="Times New Roman" w:eastAsia="宋体" w:hAnsi="Times New Roman" w:cs="Times New Roman"/>
                <w:sz w:val="24"/>
              </w:rPr>
              <w:t>100%</w:t>
            </w:r>
            <w:r>
              <w:rPr>
                <w:rFonts w:ascii="Times New Roman" w:eastAsia="宋体" w:hAnsi="Times New Roman" w:cs="Times New Roman"/>
                <w:sz w:val="24"/>
              </w:rPr>
              <w:t>；冷却补水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</w:rPr>
              <w:t>%</w:t>
            </w:r>
          </w:p>
        </w:tc>
      </w:tr>
      <w:tr w:rsidR="00C30099">
        <w:tc>
          <w:tcPr>
            <w:tcW w:w="56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jc w:val="both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/>
                <w:kern w:val="2"/>
              </w:rPr>
              <w:t>绿色建材应用比例</w:t>
            </w:r>
          </w:p>
        </w:tc>
        <w:tc>
          <w:tcPr>
            <w:tcW w:w="8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30099" w:rsidRDefault="002D2980">
            <w:pPr>
              <w:pStyle w:val="a6"/>
              <w:widowControl/>
              <w:spacing w:beforeAutospacing="0" w:afterAutospacing="0" w:line="360" w:lineRule="exact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/</w:t>
            </w:r>
          </w:p>
        </w:tc>
      </w:tr>
    </w:tbl>
    <w:p w:rsidR="00C30099" w:rsidRDefault="00C30099">
      <w:pPr>
        <w:tabs>
          <w:tab w:val="left" w:pos="1482"/>
        </w:tabs>
        <w:spacing w:line="20" w:lineRule="exact"/>
        <w:jc w:val="left"/>
      </w:pPr>
    </w:p>
    <w:sectPr w:rsidR="00C30099">
      <w:pgSz w:w="16838" w:h="11906" w:orient="landscape"/>
      <w:pgMar w:top="960" w:right="1440" w:bottom="12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A9" w:rsidRDefault="00B36EA9"/>
  </w:endnote>
  <w:endnote w:type="continuationSeparator" w:id="0">
    <w:p w:rsidR="00B36EA9" w:rsidRDefault="00B36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A9" w:rsidRDefault="00B36EA9"/>
  </w:footnote>
  <w:footnote w:type="continuationSeparator" w:id="0">
    <w:p w:rsidR="00B36EA9" w:rsidRDefault="00B36E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ZWY3ZGRhM2VlZDc2MDYzOGY4ZGEzOTBhMzQ0NDIifQ=="/>
  </w:docVars>
  <w:rsids>
    <w:rsidRoot w:val="3FEF52EF"/>
    <w:rsid w:val="C456F108"/>
    <w:rsid w:val="EAFAB0F1"/>
    <w:rsid w:val="EFF7C6A7"/>
    <w:rsid w:val="F23FB1DB"/>
    <w:rsid w:val="F7BD4F14"/>
    <w:rsid w:val="F89FCEEB"/>
    <w:rsid w:val="FB73549E"/>
    <w:rsid w:val="FD2D9A09"/>
    <w:rsid w:val="FFDFD848"/>
    <w:rsid w:val="FFF4C0BA"/>
    <w:rsid w:val="FFFF837B"/>
    <w:rsid w:val="000B5003"/>
    <w:rsid w:val="00266F6B"/>
    <w:rsid w:val="002D2980"/>
    <w:rsid w:val="00A059A3"/>
    <w:rsid w:val="00B36EA9"/>
    <w:rsid w:val="00C30099"/>
    <w:rsid w:val="016F5A4D"/>
    <w:rsid w:val="184C2ED6"/>
    <w:rsid w:val="1E9B4BC9"/>
    <w:rsid w:val="1FF1F400"/>
    <w:rsid w:val="21507868"/>
    <w:rsid w:val="3FEF52EF"/>
    <w:rsid w:val="3FEFF0A2"/>
    <w:rsid w:val="416A2A81"/>
    <w:rsid w:val="49FF1DE3"/>
    <w:rsid w:val="4BEE7266"/>
    <w:rsid w:val="4D8C78EA"/>
    <w:rsid w:val="506D479C"/>
    <w:rsid w:val="5EE4789F"/>
    <w:rsid w:val="5F6F5B6A"/>
    <w:rsid w:val="6DD87CAA"/>
    <w:rsid w:val="6F732B3A"/>
    <w:rsid w:val="70414539"/>
    <w:rsid w:val="7ABC5E3B"/>
    <w:rsid w:val="7E640871"/>
    <w:rsid w:val="7E778016"/>
    <w:rsid w:val="7F37A1E6"/>
    <w:rsid w:val="7F4DF608"/>
    <w:rsid w:val="7FDF5EC3"/>
    <w:rsid w:val="7FFE9CFA"/>
    <w:rsid w:val="9FBD81CE"/>
    <w:rsid w:val="BB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BCD48-0897-4CCC-B7A7-DF5464F6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天天天蓝</dc:creator>
  <cp:lastModifiedBy>王全</cp:lastModifiedBy>
  <cp:revision>3</cp:revision>
  <cp:lastPrinted>2022-11-18T23:07:00Z</cp:lastPrinted>
  <dcterms:created xsi:type="dcterms:W3CDTF">2023-07-26T08:31:00Z</dcterms:created>
  <dcterms:modified xsi:type="dcterms:W3CDTF">2023-07-26T08:32:00Z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392965E540134123BB3E3D16AB3D6F59_13</vt:lpwstr>
  </property>
</Properties>
</file>