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9" w:lineRule="auto"/>
        <w:rPr>
          <w:rFonts w:ascii="Arial"/>
          <w:sz w:val="21"/>
        </w:rPr>
      </w:pPr>
    </w:p>
    <w:p>
      <w:pPr>
        <w:spacing w:line="349" w:lineRule="auto"/>
        <w:rPr>
          <w:rFonts w:ascii="Arial"/>
          <w:sz w:val="21"/>
        </w:rPr>
      </w:pPr>
    </w:p>
    <w:p>
      <w:pPr>
        <w:spacing w:before="149" w:line="219" w:lineRule="auto"/>
        <w:ind w:left="214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31"/>
          <w:sz w:val="46"/>
          <w:szCs w:val="46"/>
        </w:rPr>
        <w:t>天津市人民政府关于天津市</w:t>
      </w:r>
    </w:p>
    <w:p>
      <w:pPr>
        <w:spacing w:before="97" w:line="219" w:lineRule="auto"/>
        <w:ind w:left="566"/>
        <w:rPr>
          <w:rFonts w:ascii="宋体" w:hAnsi="宋体" w:eastAsia="宋体" w:cs="宋体"/>
          <w:sz w:val="46"/>
          <w:szCs w:val="46"/>
        </w:rPr>
      </w:pPr>
      <w:r>
        <w:rPr>
          <w:rFonts w:ascii="宋体" w:hAnsi="宋体" w:eastAsia="宋体" w:cs="宋体"/>
          <w:b/>
          <w:bCs/>
          <w:spacing w:val="-4"/>
          <w:sz w:val="46"/>
          <w:szCs w:val="46"/>
        </w:rPr>
        <w:t>城市更新行动计划(2023—2027年)的批复</w:t>
      </w:r>
    </w:p>
    <w:p>
      <w:pPr>
        <w:spacing w:line="313" w:lineRule="auto"/>
        <w:rPr>
          <w:rFonts w:ascii="Arial"/>
          <w:sz w:val="21"/>
        </w:rPr>
      </w:pPr>
    </w:p>
    <w:p>
      <w:pPr>
        <w:spacing w:line="313" w:lineRule="auto"/>
        <w:rPr>
          <w:rFonts w:ascii="Arial"/>
          <w:sz w:val="21"/>
        </w:rPr>
      </w:pPr>
    </w:p>
    <w:p>
      <w:pPr>
        <w:spacing w:before="110" w:line="222" w:lineRule="auto"/>
        <w:ind w:left="2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市住房城乡建设委：</w:t>
      </w:r>
    </w:p>
    <w:p>
      <w:pPr>
        <w:spacing w:before="171" w:line="578" w:lineRule="exact"/>
        <w:ind w:left="8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9"/>
          <w:position w:val="17"/>
          <w:sz w:val="34"/>
          <w:szCs w:val="34"/>
        </w:rPr>
        <w:t>你委关于报审《天津市城市更新行动计划(2023-2027年)》</w:t>
      </w:r>
    </w:p>
    <w:p>
      <w:pPr>
        <w:spacing w:before="1" w:line="220" w:lineRule="auto"/>
        <w:ind w:left="2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1"/>
          <w:sz w:val="34"/>
          <w:szCs w:val="34"/>
        </w:rPr>
        <w:t>的请示收悉。经研究，现批复如下：</w:t>
      </w:r>
    </w:p>
    <w:p>
      <w:pPr>
        <w:spacing w:before="176" w:line="569" w:lineRule="exact"/>
        <w:ind w:left="890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8"/>
          <w:position w:val="16"/>
          <w:sz w:val="34"/>
          <w:szCs w:val="34"/>
        </w:rPr>
        <w:t>一、原则同意《天津市城市更新行动计划(2023-2027年)》</w:t>
      </w:r>
    </w:p>
    <w:p>
      <w:pPr>
        <w:spacing w:before="2" w:line="220" w:lineRule="auto"/>
        <w:ind w:left="42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6"/>
          <w:sz w:val="34"/>
          <w:szCs w:val="34"/>
        </w:rPr>
        <w:t>(以下简称《行动计划》)。</w:t>
      </w:r>
    </w:p>
    <w:p>
      <w:pPr>
        <w:spacing w:before="160" w:line="310" w:lineRule="auto"/>
        <w:ind w:left="249" w:right="503" w:firstLine="64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5"/>
          <w:sz w:val="34"/>
          <w:szCs w:val="34"/>
        </w:rPr>
        <w:t>二、《行动计划》实施要深入贯彻习近平总书记关于城市工作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5"/>
          <w:sz w:val="34"/>
          <w:szCs w:val="34"/>
        </w:rPr>
        <w:t>的重要论述，坚持以人民为中心的发展思想，坚持存量提质改造</w:t>
      </w:r>
      <w:r>
        <w:rPr>
          <w:rFonts w:ascii="仿宋" w:hAnsi="仿宋" w:eastAsia="仿宋" w:cs="仿宋"/>
          <w:spacing w:val="11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和增量结构调整并重，注重激发市场活力，补齐基础</w:t>
      </w:r>
      <w:r>
        <w:rPr>
          <w:rFonts w:ascii="仿宋" w:hAnsi="仿宋" w:eastAsia="仿宋" w:cs="仿宋"/>
          <w:spacing w:val="-24"/>
          <w:sz w:val="34"/>
          <w:szCs w:val="34"/>
        </w:rPr>
        <w:t>设施和公共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8"/>
          <w:sz w:val="34"/>
          <w:szCs w:val="34"/>
        </w:rPr>
        <w:t>服务短板，有效服务和推动高质量发展“十项行动</w:t>
      </w:r>
      <w:r>
        <w:rPr>
          <w:rFonts w:ascii="仿宋" w:hAnsi="仿宋" w:eastAsia="仿宋" w:cs="仿宋"/>
          <w:spacing w:val="-29"/>
          <w:sz w:val="34"/>
          <w:szCs w:val="34"/>
        </w:rPr>
        <w:t>”,为全面建设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23"/>
          <w:sz w:val="34"/>
          <w:szCs w:val="34"/>
        </w:rPr>
        <w:t>高质量发展、高水平改革开放、高效能治理、高</w:t>
      </w:r>
      <w:r>
        <w:rPr>
          <w:rFonts w:ascii="仿宋" w:hAnsi="仿宋" w:eastAsia="仿宋" w:cs="仿宋"/>
          <w:spacing w:val="-24"/>
          <w:sz w:val="34"/>
          <w:szCs w:val="34"/>
        </w:rPr>
        <w:t>品质生活的社会</w:t>
      </w:r>
    </w:p>
    <w:p>
      <w:pPr>
        <w:spacing w:before="1" w:line="221" w:lineRule="auto"/>
        <w:ind w:left="2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29"/>
          <w:sz w:val="34"/>
          <w:szCs w:val="34"/>
        </w:rPr>
        <w:t>主义现代化大都市提供重要支撑。</w:t>
      </w:r>
    </w:p>
    <w:p>
      <w:pPr>
        <w:spacing w:before="162" w:line="309" w:lineRule="auto"/>
        <w:ind w:left="249" w:right="399" w:firstLine="640"/>
        <w:jc w:val="both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42"/>
          <w:sz w:val="34"/>
          <w:szCs w:val="34"/>
        </w:rPr>
        <w:t>三、你委要会同有关单位，按照《行动计划》确定的</w:t>
      </w:r>
      <w:r>
        <w:rPr>
          <w:rFonts w:ascii="仿宋" w:hAnsi="仿宋" w:eastAsia="仿宋" w:cs="仿宋"/>
          <w:spacing w:val="-43"/>
          <w:sz w:val="34"/>
          <w:szCs w:val="34"/>
        </w:rPr>
        <w:t>总体要求、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5"/>
          <w:sz w:val="34"/>
          <w:szCs w:val="34"/>
        </w:rPr>
        <w:t>任务目标和更新策略，推动建立政府统筹、条块协作、</w:t>
      </w:r>
      <w:r>
        <w:rPr>
          <w:rFonts w:ascii="仿宋" w:hAnsi="仿宋" w:eastAsia="仿宋" w:cs="仿宋"/>
          <w:spacing w:val="-36"/>
          <w:sz w:val="34"/>
          <w:szCs w:val="34"/>
        </w:rPr>
        <w:t>上下衔接的</w:t>
      </w:r>
      <w:r>
        <w:rPr>
          <w:rFonts w:ascii="仿宋" w:hAnsi="仿宋" w:eastAsia="仿宋" w:cs="仿宋"/>
          <w:sz w:val="34"/>
          <w:szCs w:val="34"/>
        </w:rPr>
        <w:t xml:space="preserve"> </w:t>
      </w:r>
      <w:r>
        <w:rPr>
          <w:rFonts w:ascii="仿宋" w:hAnsi="仿宋" w:eastAsia="仿宋" w:cs="仿宋"/>
          <w:spacing w:val="-33"/>
          <w:sz w:val="34"/>
          <w:szCs w:val="34"/>
        </w:rPr>
        <w:t>工作机制，推动城市体检、</w:t>
      </w:r>
      <w:bookmarkStart w:id="0" w:name="_GoBack"/>
      <w:bookmarkEnd w:id="0"/>
      <w:r>
        <w:rPr>
          <w:rFonts w:ascii="仿宋" w:hAnsi="仿宋" w:eastAsia="仿宋" w:cs="仿宋"/>
          <w:spacing w:val="-33"/>
          <w:sz w:val="34"/>
          <w:szCs w:val="34"/>
        </w:rPr>
        <w:t>规划计划、项目建设、政策保障各项工</w:t>
      </w:r>
    </w:p>
    <w:p>
      <w:pPr>
        <w:spacing w:before="1" w:line="220" w:lineRule="auto"/>
        <w:ind w:left="249"/>
        <w:rPr>
          <w:rFonts w:ascii="仿宋" w:hAnsi="仿宋" w:eastAsia="仿宋" w:cs="仿宋"/>
          <w:sz w:val="34"/>
          <w:szCs w:val="34"/>
        </w:rPr>
      </w:pPr>
      <w:r>
        <w:rPr>
          <w:rFonts w:ascii="仿宋" w:hAnsi="仿宋" w:eastAsia="仿宋" w:cs="仿宋"/>
          <w:spacing w:val="-32"/>
          <w:sz w:val="34"/>
          <w:szCs w:val="34"/>
        </w:rPr>
        <w:t>作有序实施，定期组织对《行动计划》实施情况进行检查评估</w:t>
      </w:r>
      <w:r>
        <w:rPr>
          <w:rFonts w:ascii="仿宋" w:hAnsi="仿宋" w:eastAsia="仿宋" w:cs="仿宋"/>
          <w:spacing w:val="-33"/>
          <w:sz w:val="34"/>
          <w:szCs w:val="34"/>
        </w:rPr>
        <w:t>。</w:t>
      </w:r>
    </w:p>
    <w:p>
      <w:pPr>
        <w:spacing w:line="275" w:lineRule="auto"/>
        <w:rPr>
          <w:rFonts w:ascii="Arial"/>
          <w:sz w:val="21"/>
        </w:rPr>
      </w:pPr>
    </w:p>
    <w:p>
      <w:pPr>
        <w:spacing w:line="275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346" w:lineRule="auto"/>
        <w:ind w:right="45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各有关单位要依据职责，制定专项工作方案，进一步分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解细化年度任务目标，切实将城市更新工作项目化、数字化、实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物量化；研究出台符合本市实际的配套支持政策，吸引更多社会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资金投入；积极向国家有关部委沟通请示，争取政策实施、项目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安排、体制机制创新等方面支持；指导帮助各区人民政府切实解</w:t>
      </w:r>
    </w:p>
    <w:p>
      <w:pPr>
        <w:spacing w:before="1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决《行动计划》实施过程中遇到的问题。</w:t>
      </w:r>
    </w:p>
    <w:p>
      <w:pPr>
        <w:spacing w:before="209" w:line="345" w:lineRule="auto"/>
        <w:ind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五、各区人民政府要认真落实主体责任，切实加强组织统筹，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推进城市更新各项任务落实；坚持问题导向，定期开展城市体检，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统筹城市更新项目规划，严格项目实施管理，确保项目按期实施；</w:t>
      </w:r>
    </w:p>
    <w:p>
      <w:pPr>
        <w:spacing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组织实施主体做好城市更新项目产业准入、评估、全过程监管等</w:t>
      </w:r>
    </w:p>
    <w:p>
      <w:pPr>
        <w:spacing w:before="210" w:line="220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工作，推动项目持续发挥综合效益。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line="263" w:lineRule="auto"/>
        <w:rPr>
          <w:rFonts w:ascii="Arial"/>
          <w:sz w:val="21"/>
        </w:rPr>
      </w:pPr>
    </w:p>
    <w:p>
      <w:pPr>
        <w:spacing w:before="101" w:line="222" w:lineRule="auto"/>
        <w:ind w:left="750"/>
        <w:rPr>
          <w:rFonts w:ascii="仿宋" w:hAnsi="仿宋" w:eastAsia="仿宋" w:cs="仿宋"/>
          <w:sz w:val="31"/>
          <w:szCs w:val="31"/>
        </w:rPr>
      </w:pPr>
      <w:r>
        <w:pict>
          <v:shape id="_x0000_s1026" o:spid="_x0000_s1026" o:spt="202" type="#_x0000_t202" style="position:absolute;left:0pt;margin-left:257.45pt;margin-top:-12.9pt;height:20.7pt;width:125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222" w:lineRule="auto"/>
                    <w:ind w:left="20"/>
                    <w:rPr>
                      <w:rFonts w:ascii="仿宋" w:hAnsi="仿宋" w:eastAsia="仿宋" w:cs="仿宋"/>
                      <w:sz w:val="31"/>
                      <w:szCs w:val="31"/>
                    </w:rPr>
                  </w:pPr>
                  <w:r>
                    <w:rPr>
                      <w:rFonts w:ascii="仿宋" w:hAnsi="仿宋" w:eastAsia="仿宋" w:cs="仿宋"/>
                      <w:spacing w:val="44"/>
                      <w:sz w:val="31"/>
                      <w:szCs w:val="31"/>
                    </w:rPr>
                    <w:t>2023年7月19日</w:t>
                  </w:r>
                </w:p>
              </w:txbxContent>
            </v:textbox>
          </v:shape>
        </w:pict>
      </w:r>
      <w:r>
        <w:rPr>
          <w:rFonts w:ascii="仿宋" w:hAnsi="仿宋" w:eastAsia="仿宋" w:cs="仿宋"/>
          <w:spacing w:val="13"/>
          <w:sz w:val="31"/>
          <w:szCs w:val="31"/>
        </w:rPr>
        <w:t>(此件主动公开)</w:t>
      </w:r>
    </w:p>
    <w:p>
      <w:pPr>
        <w:spacing w:before="101" w:line="272" w:lineRule="auto"/>
        <w:ind w:left="1050" w:right="29" w:hanging="7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9"/>
          <w:sz w:val="31"/>
          <w:szCs w:val="31"/>
        </w:rPr>
        <w:t>抄送：市委网信办，各区人民政府，市发展改革委、市教委、市科技局、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9"/>
          <w:sz w:val="31"/>
          <w:szCs w:val="31"/>
        </w:rPr>
        <w:t>市工业和信息化局、市公安局、市民政局、市财政局、市规划资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-39"/>
          <w:sz w:val="31"/>
          <w:szCs w:val="31"/>
        </w:rPr>
        <w:t>源局、市生态环境局、市城市管理委、市交通运输委、</w:t>
      </w:r>
      <w:r>
        <w:rPr>
          <w:rFonts w:ascii="仿宋" w:hAnsi="仿宋" w:eastAsia="仿宋" w:cs="仿宋"/>
          <w:spacing w:val="-40"/>
          <w:sz w:val="31"/>
          <w:szCs w:val="31"/>
        </w:rPr>
        <w:t>市水务局、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9"/>
          <w:sz w:val="31"/>
          <w:szCs w:val="31"/>
        </w:rPr>
        <w:t>市商务局、市文化和旅游局、市卫生健康委、市应急局、市市场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9"/>
          <w:sz w:val="31"/>
          <w:szCs w:val="31"/>
        </w:rPr>
        <w:t>监管委、市国资委、市体育局、市金融局、市地震局、市消</w:t>
      </w:r>
      <w:r>
        <w:rPr>
          <w:rFonts w:ascii="仿宋" w:hAnsi="仿宋" w:eastAsia="仿宋" w:cs="仿宋"/>
          <w:spacing w:val="-40"/>
          <w:sz w:val="31"/>
          <w:szCs w:val="31"/>
        </w:rPr>
        <w:t>防救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-38"/>
          <w:sz w:val="31"/>
          <w:szCs w:val="31"/>
        </w:rPr>
        <w:t>援总队，天津银保监局，国家开发银行股份有限公司天津市</w:t>
      </w:r>
      <w:r>
        <w:rPr>
          <w:rFonts w:ascii="仿宋" w:hAnsi="仿宋" w:eastAsia="仿宋" w:cs="仿宋"/>
          <w:spacing w:val="-39"/>
          <w:sz w:val="31"/>
          <w:szCs w:val="31"/>
        </w:rPr>
        <w:t>分行、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8"/>
          <w:sz w:val="31"/>
          <w:szCs w:val="31"/>
        </w:rPr>
        <w:t>天津城市基础设施建设投资集团有限公司。</w:t>
      </w:r>
    </w:p>
    <w:sectPr>
      <w:footerReference r:id="rId5" w:type="default"/>
      <w:pgSz w:w="11900" w:h="16830"/>
      <w:pgMar w:top="1430" w:right="1444" w:bottom="1657" w:left="1489" w:header="0" w:footer="134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rPr>
        <w:rFonts w:ascii="宋体" w:hAnsi="宋体" w:eastAsia="宋体" w:cs="宋体"/>
        <w:spacing w:val="-4"/>
        <w:sz w:val="31"/>
        <w:szCs w:val="31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TY1M2M4YWI5MDYwMjllYTdlMWM1NGQ1YjFjMGM3YTkifQ=="/>
  </w:docVars>
  <w:rsids>
    <w:rsidRoot w:val="00000000"/>
    <w:rsid w:val="166269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Office_12.1.0.15351_F1E327BC-269C-435d-A152-05C5408002CA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2023-09-06T13:19:00Z</dcterms:created>
  <dc:creator>Kingsoft-PDF</dc:creator>
  <cp:lastModifiedBy>swift</cp:lastModifiedBy>
  <dcterms:modified xsi:type="dcterms:W3CDTF">2023-09-06T05:21:48Z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2023-09-06T13:19:21Z</vt:filetime>
  </property>
  <property fmtid="{D5CDD505-2E9C-101B-9397-08002B2CF9AE}" pid="4" name="UsrData">
    <vt:lpwstr>64f80bd7dfd7f5001fdc46f6wl</vt:lpwstr>
  </property>
  <property fmtid="{D5CDD505-2E9C-101B-9397-08002B2CF9AE}" pid="5" name="KSOProductBuildVer">
    <vt:lpwstr>2052-12.1.0.15351</vt:lpwstr>
  </property>
  <property fmtid="{D5CDD505-2E9C-101B-9397-08002B2CF9AE}" pid="6" name="ICV">
    <vt:lpwstr>1DE2740718F649B2A89DEE9FFFA09B40_12</vt:lpwstr>
  </property>
</Properties>
</file>