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EE2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960" w:firstLineChars="300"/>
        <w:jc w:val="righ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DC82DB0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/>
          <w:b/>
          <w:bCs/>
          <w:color w:val="auto"/>
          <w:sz w:val="52"/>
          <w:szCs w:val="52"/>
        </w:rPr>
      </w:pPr>
    </w:p>
    <w:p w14:paraId="51C0CCA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/>
          <w:b/>
          <w:bCs/>
          <w:color w:val="auto"/>
          <w:sz w:val="52"/>
          <w:szCs w:val="52"/>
        </w:rPr>
      </w:pPr>
    </w:p>
    <w:p w14:paraId="3B71E2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/>
        <w:jc w:val="center"/>
        <w:textAlignment w:val="auto"/>
        <w:rPr>
          <w:rFonts w:hint="eastAsia" w:ascii="Times New Roman" w:hAnsi="Times New Roman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Toc11523"/>
      <w:bookmarkStart w:id="1" w:name="_Toc11964"/>
      <w:bookmarkStart w:id="2" w:name="_Toc13724"/>
      <w:bookmarkStart w:id="3" w:name="_Toc5859"/>
      <w:r>
        <w:rPr>
          <w:rFonts w:hint="eastAsia" w:ascii="Times New Roman" w:hAnsi="Times New Roman" w:eastAsia="方正小标宋简体" w:cs="方正小标宋简体"/>
          <w:color w:val="auto"/>
          <w:sz w:val="44"/>
          <w:szCs w:val="44"/>
          <w:lang w:val="en-US" w:eastAsia="zh-CN"/>
        </w:rPr>
        <w:t>天津市智慧住房建设租赁综合服务平台</w:t>
      </w:r>
      <w:bookmarkEnd w:id="0"/>
      <w:bookmarkEnd w:id="1"/>
      <w:bookmarkEnd w:id="2"/>
      <w:bookmarkEnd w:id="3"/>
      <w:bookmarkStart w:id="4" w:name="_Toc14282"/>
      <w:bookmarkStart w:id="5" w:name="_Toc11919"/>
      <w:bookmarkStart w:id="6" w:name="_Toc11322"/>
      <w:bookmarkStart w:id="7" w:name="_Toc19771"/>
    </w:p>
    <w:p w14:paraId="5FD540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/>
        <w:jc w:val="center"/>
        <w:textAlignment w:val="auto"/>
        <w:rPr>
          <w:rFonts w:hint="eastAsia" w:ascii="Times New Roman" w:hAnsi="Times New Roman" w:eastAsia="方正小标宋简体" w:cs="方正小标宋简体"/>
          <w:color w:val="auto"/>
          <w:sz w:val="44"/>
          <w:szCs w:val="44"/>
          <w:lang w:val="en-US" w:eastAsia="zh-CN"/>
        </w:rPr>
      </w:pPr>
      <w:bookmarkStart w:id="14" w:name="_GoBack"/>
      <w:r>
        <w:rPr>
          <w:rFonts w:hint="eastAsia" w:ascii="Times New Roman" w:hAnsi="Times New Roman" w:eastAsia="方正小标宋简体" w:cs="方正小标宋简体"/>
          <w:color w:val="auto"/>
          <w:sz w:val="44"/>
          <w:szCs w:val="44"/>
          <w:lang w:val="en-US" w:eastAsia="zh-CN"/>
        </w:rPr>
        <w:t>建筑垃圾减量化模块</w:t>
      </w:r>
      <w:bookmarkEnd w:id="4"/>
      <w:r>
        <w:rPr>
          <w:rFonts w:hint="eastAsia" w:ascii="Times New Roman" w:hAnsi="Times New Roman" w:eastAsia="方正小标宋简体" w:cs="方正小标宋简体"/>
          <w:color w:val="auto"/>
          <w:sz w:val="44"/>
          <w:szCs w:val="44"/>
          <w:lang w:val="en-US" w:eastAsia="zh-CN"/>
        </w:rPr>
        <w:t>用户手册</w:t>
      </w:r>
      <w:bookmarkEnd w:id="5"/>
      <w:bookmarkEnd w:id="6"/>
      <w:bookmarkEnd w:id="7"/>
    </w:p>
    <w:bookmarkEnd w:id="14"/>
    <w:p w14:paraId="4DF0A4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color w:val="auto"/>
          <w:sz w:val="32"/>
          <w:lang w:val="en-US" w:eastAsia="zh-CN"/>
        </w:rPr>
      </w:pPr>
    </w:p>
    <w:p w14:paraId="1D6588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color w:val="auto"/>
          <w:sz w:val="44"/>
          <w:szCs w:val="44"/>
        </w:rPr>
      </w:pPr>
    </w:p>
    <w:p w14:paraId="4B9BEAC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  <w:color w:val="auto"/>
          <w:sz w:val="44"/>
          <w:szCs w:val="44"/>
        </w:rPr>
      </w:pPr>
    </w:p>
    <w:p w14:paraId="6BF3E755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  <w:color w:val="auto"/>
          <w:sz w:val="44"/>
          <w:szCs w:val="44"/>
        </w:rPr>
      </w:pPr>
    </w:p>
    <w:p w14:paraId="1BF9DB0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  <w:color w:val="auto"/>
          <w:sz w:val="44"/>
          <w:szCs w:val="44"/>
        </w:rPr>
      </w:pPr>
    </w:p>
    <w:p w14:paraId="2D4F9D83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  <w:color w:val="auto"/>
          <w:sz w:val="44"/>
          <w:szCs w:val="44"/>
        </w:rPr>
      </w:pPr>
    </w:p>
    <w:p w14:paraId="61C260B4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  <w:color w:val="auto"/>
          <w:sz w:val="44"/>
          <w:szCs w:val="44"/>
        </w:rPr>
      </w:pPr>
    </w:p>
    <w:p w14:paraId="76201BB9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  <w:color w:val="auto"/>
          <w:sz w:val="44"/>
          <w:szCs w:val="44"/>
        </w:rPr>
      </w:pPr>
    </w:p>
    <w:p w14:paraId="08E8FBE3">
      <w:pPr>
        <w:pStyle w:val="5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/>
          <w:color w:val="auto"/>
          <w:sz w:val="44"/>
          <w:szCs w:val="44"/>
        </w:rPr>
      </w:pPr>
    </w:p>
    <w:p w14:paraId="4721F3F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/>
          <w:color w:val="auto"/>
        </w:rPr>
      </w:pPr>
    </w:p>
    <w:p w14:paraId="630D4E7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/>
          <w:color w:val="auto"/>
          <w:sz w:val="44"/>
          <w:szCs w:val="44"/>
        </w:rPr>
      </w:pPr>
    </w:p>
    <w:p w14:paraId="72F20F6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  <w:color w:val="auto"/>
          <w:sz w:val="44"/>
          <w:szCs w:val="44"/>
        </w:rPr>
      </w:pPr>
    </w:p>
    <w:p w14:paraId="1C1F77EA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Times New Roman" w:hAnsi="Times New Roman"/>
          <w:color w:val="auto"/>
          <w:sz w:val="44"/>
          <w:szCs w:val="44"/>
        </w:rPr>
      </w:pPr>
    </w:p>
    <w:p w14:paraId="76E592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color w:val="auto"/>
          <w:sz w:val="32"/>
          <w:lang w:val="en-US" w:eastAsia="zh-CN"/>
        </w:rPr>
      </w:pPr>
    </w:p>
    <w:p w14:paraId="61D3F6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color w:val="auto"/>
          <w:sz w:val="32"/>
          <w:lang w:val="en-US" w:eastAsia="zh-CN"/>
        </w:rPr>
        <w:sectPr>
          <w:footerReference r:id="rId3" w:type="default"/>
          <w:pgSz w:w="11906" w:h="16838"/>
          <w:pgMar w:top="2098" w:right="1474" w:bottom="1984" w:left="1587" w:header="851" w:footer="992" w:gutter="0"/>
          <w:cols w:space="720" w:num="1"/>
          <w:titlePg/>
          <w:docGrid w:type="lines" w:linePitch="326" w:charSpace="0"/>
        </w:sectPr>
      </w:pPr>
      <w:r>
        <w:rPr>
          <w:rFonts w:hint="eastAsia" w:ascii="Times New Roman" w:hAnsi="Times New Roman" w:eastAsia="方正小标宋简体" w:cs="方正小标宋简体"/>
          <w:color w:val="auto"/>
          <w:sz w:val="32"/>
          <w:lang w:val="en-US" w:eastAsia="zh-CN"/>
        </w:rPr>
        <w:t>二〇二五年十月</w:t>
      </w:r>
    </w:p>
    <w:p w14:paraId="36470F73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640" w:firstLineChars="200"/>
        <w:textAlignment w:val="auto"/>
        <w:rPr>
          <w:rFonts w:hint="eastAsia" w:ascii="Times New Roman" w:hAnsi="Times New Roman" w:eastAsia="黑体" w:cs="黑体"/>
          <w:b w:val="0"/>
          <w:bCs/>
          <w:color w:val="auto"/>
          <w:sz w:val="32"/>
          <w:szCs w:val="32"/>
        </w:rPr>
      </w:pPr>
      <w:bookmarkStart w:id="8" w:name="_Toc4269"/>
      <w:bookmarkStart w:id="9" w:name="_Toc1818"/>
      <w:r>
        <w:rPr>
          <w:rFonts w:hint="eastAsia" w:ascii="Times New Roman" w:hAnsi="Times New Roman" w:eastAsia="黑体" w:cs="黑体"/>
          <w:b w:val="0"/>
          <w:bCs/>
          <w:color w:val="auto"/>
          <w:sz w:val="32"/>
          <w:szCs w:val="32"/>
          <w:lang w:val="en-US" w:eastAsia="zh-CN"/>
        </w:rPr>
        <w:t xml:space="preserve">第一章 </w:t>
      </w:r>
      <w:r>
        <w:rPr>
          <w:rFonts w:hint="eastAsia" w:ascii="Times New Roman" w:hAnsi="Times New Roman" w:eastAsia="黑体" w:cs="黑体"/>
          <w:b w:val="0"/>
          <w:bCs/>
          <w:color w:val="auto"/>
          <w:sz w:val="32"/>
          <w:szCs w:val="32"/>
        </w:rPr>
        <w:t>系统概述</w:t>
      </w:r>
      <w:bookmarkEnd w:id="8"/>
      <w:bookmarkEnd w:id="9"/>
    </w:p>
    <w:p w14:paraId="0145C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本手册是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《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建筑垃圾减量化》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模块的操作手册，全文以指导性的方式介绍了系统的结构，使用过程等方面信息，主要面向系统的初次使用人员，旨在向用户提供直观、清晰的操作方式。</w:t>
      </w:r>
    </w:p>
    <w:p w14:paraId="4876B4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建筑垃圾减量化模块企业端将接入“工地管理系统企业端”，企业端通过工地系统访问建筑垃圾减量化模块。</w:t>
      </w:r>
    </w:p>
    <w:p w14:paraId="65D29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“建筑垃圾减量化”模块下共包括“建筑垃圾减量化”“可再生品利用”两个子模块。</w:t>
      </w:r>
    </w:p>
    <w:p w14:paraId="4C04B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建筑垃圾减量化子模块包括项目信息、减量化管理两部分功能。</w:t>
      </w:r>
    </w:p>
    <w:p w14:paraId="010C12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项目信息：补全项目基本信息；填报建筑垃圾运输单位、建筑垃圾消纳单位、运输车辆等信息；上传建筑垃圾减量化方案。</w:t>
      </w:r>
    </w:p>
    <w:p w14:paraId="6FAB10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减量化管理：建筑垃圾出场登记；查看建筑垃圾出场明细。</w:t>
      </w:r>
    </w:p>
    <w:p w14:paraId="759A9086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640" w:firstLineChars="200"/>
        <w:textAlignment w:val="auto"/>
        <w:rPr>
          <w:rFonts w:hint="eastAsia" w:ascii="Times New Roman" w:hAnsi="Times New Roman" w:eastAsia="黑体" w:cs="黑体"/>
          <w:b w:val="0"/>
          <w:bCs/>
          <w:color w:val="auto"/>
          <w:sz w:val="32"/>
          <w:szCs w:val="32"/>
        </w:rPr>
      </w:pPr>
      <w:bookmarkStart w:id="10" w:name="_Toc23488"/>
      <w:bookmarkStart w:id="11" w:name="_Toc5866"/>
      <w:r>
        <w:rPr>
          <w:rFonts w:hint="eastAsia" w:ascii="Times New Roman" w:hAnsi="Times New Roman" w:eastAsia="黑体" w:cs="黑体"/>
          <w:b w:val="0"/>
          <w:bCs/>
          <w:color w:val="auto"/>
          <w:sz w:val="32"/>
          <w:szCs w:val="32"/>
          <w:lang w:val="en-US" w:eastAsia="zh-CN"/>
        </w:rPr>
        <w:t xml:space="preserve">第二章 </w:t>
      </w:r>
      <w:r>
        <w:rPr>
          <w:rFonts w:hint="eastAsia" w:ascii="Times New Roman" w:hAnsi="Times New Roman" w:eastAsia="黑体" w:cs="黑体"/>
          <w:b w:val="0"/>
          <w:bCs/>
          <w:color w:val="auto"/>
          <w:sz w:val="32"/>
          <w:szCs w:val="32"/>
        </w:rPr>
        <w:t>系统运行环境</w:t>
      </w:r>
      <w:bookmarkEnd w:id="10"/>
      <w:bookmarkEnd w:id="11"/>
    </w:p>
    <w:p w14:paraId="4A6BD0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浏览器：推荐使用chrome浏览器；</w:t>
      </w:r>
    </w:p>
    <w:p w14:paraId="363B01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操作系统：推荐使用 windows7 及以上；</w:t>
      </w:r>
    </w:p>
    <w:p w14:paraId="6923B2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屏幕分辨率：推荐使用 1366*768 及以上；</w:t>
      </w:r>
    </w:p>
    <w:p w14:paraId="2DBF9A9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firstLine="640" w:firstLineChars="200"/>
        <w:textAlignment w:val="auto"/>
        <w:rPr>
          <w:rFonts w:hint="eastAsia" w:ascii="Times New Roman" w:hAnsi="Times New Roman" w:eastAsia="黑体" w:cs="黑体"/>
          <w:b w:val="0"/>
          <w:bCs/>
          <w:color w:val="auto"/>
          <w:sz w:val="32"/>
          <w:szCs w:val="32"/>
        </w:rPr>
      </w:pPr>
      <w:bookmarkStart w:id="12" w:name="_Toc32762"/>
      <w:bookmarkStart w:id="13" w:name="_Toc7477"/>
      <w:r>
        <w:rPr>
          <w:rFonts w:hint="eastAsia" w:ascii="Times New Roman" w:hAnsi="Times New Roman" w:eastAsia="黑体" w:cs="黑体"/>
          <w:b w:val="0"/>
          <w:bCs/>
          <w:color w:val="auto"/>
          <w:sz w:val="32"/>
          <w:szCs w:val="32"/>
          <w:lang w:val="en-US" w:eastAsia="zh-CN"/>
        </w:rPr>
        <w:t>第三章 建筑垃圾减量化模块</w:t>
      </w:r>
      <w:r>
        <w:rPr>
          <w:rFonts w:hint="eastAsia" w:ascii="Times New Roman" w:hAnsi="Times New Roman" w:eastAsia="黑体" w:cs="黑体"/>
          <w:b w:val="0"/>
          <w:bCs/>
          <w:color w:val="auto"/>
          <w:sz w:val="32"/>
          <w:szCs w:val="32"/>
        </w:rPr>
        <w:t>操作说明</w:t>
      </w:r>
      <w:bookmarkEnd w:id="12"/>
      <w:bookmarkEnd w:id="13"/>
    </w:p>
    <w:p w14:paraId="3A0D69B0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0" w:firstLineChars="200"/>
        <w:jc w:val="left"/>
        <w:textAlignment w:val="auto"/>
        <w:rPr>
          <w:rFonts w:ascii="Times New Roman" w:hAnsi="Times New Roman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宋体"/>
          <w:b w:val="0"/>
          <w:bCs w:val="0"/>
          <w:color w:val="auto"/>
          <w:sz w:val="32"/>
          <w:szCs w:val="32"/>
          <w:lang w:val="en-US" w:eastAsia="zh-CN"/>
        </w:rPr>
        <w:t>1.1</w:t>
      </w:r>
      <w:r>
        <w:rPr>
          <w:rFonts w:hint="eastAsia" w:ascii="Times New Roman" w:hAnsi="Times New Roman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t>工地系统人员绑定</w:t>
      </w:r>
    </w:p>
    <w:p w14:paraId="3789B5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首先使用公司的管理员账号登录智慧住建平台企业端，进入工地系统。在工程管理中找到对应项目，点击右侧绑定责任人。</w:t>
      </w:r>
    </w:p>
    <w:p w14:paraId="1B72D1E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both"/>
        <w:textAlignment w:val="auto"/>
        <w:rPr>
          <w:rFonts w:ascii="Times New Roman" w:hAnsi="Times New Roman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5420" cy="1092835"/>
            <wp:effectExtent l="0" t="0" r="1" b="1"/>
            <wp:docPr id="2" name="图片 2" descr="5108124fc77df19a6111b49df9168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08124fc77df19a6111b49df91684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9283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629E86A2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  <w:lang w:val="en-US" w:eastAsia="zh-CN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1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3463EA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点击新增，之后添加项目对应人员，选择对应岗位（本次业务需绑定项目经理），再点击保存。</w:t>
      </w:r>
    </w:p>
    <w:p w14:paraId="3F07CD9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0340" cy="2038350"/>
            <wp:effectExtent l="0" t="0" r="0" b="0"/>
            <wp:docPr id="3" name="图片 3" descr="7c6335009d8f47c0572164750e16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6335009d8f47c0572164750e163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383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76A81A56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  <w:lang w:val="en-US" w:eastAsia="zh-CN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2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1D0E98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（注：如果第二步新增后没有对应人员，则从企业管理中选择用户管理，再添加人员）</w:t>
      </w:r>
    </w:p>
    <w:p w14:paraId="1B96C64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47640" cy="1124585"/>
            <wp:effectExtent l="0" t="0" r="0" b="1"/>
            <wp:docPr id="4" name="图片 4" descr="817d417256af53d3ef39b9871e576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7d417256af53d3ef39b9871e576e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12521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5608D6AB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  <w:lang w:val="en-US" w:eastAsia="zh-CN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3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6A5F85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绑定好责任人之后，用项目经理手机号作为账号来登录平台，默认密码为Password@123。登录后，点击平台右上方的头像可以修改密码。</w:t>
      </w:r>
    </w:p>
    <w:p w14:paraId="00C678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931160" cy="3006090"/>
            <wp:effectExtent l="0" t="0" r="1" b="0"/>
            <wp:docPr id="5" name="图片 5" descr="15e4f34267f541431361552ff340c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e4f34267f541431361552ff340ca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300609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23A81119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4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482AAA38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0" w:firstLineChars="200"/>
        <w:jc w:val="left"/>
        <w:textAlignment w:val="auto"/>
        <w:rPr>
          <w:rFonts w:hint="eastAsia" w:ascii="Times New Roman" w:hAnsi="Times New Roman" w:eastAsia="楷体_GB2312" w:cs="楷体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t>1.2建筑垃圾减量化模块入口</w:t>
      </w:r>
    </w:p>
    <w:p w14:paraId="39102A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进入“工地管理系统”后，在上方点击“建筑垃圾减量化”进入模块，进行内容的填报。</w:t>
      </w:r>
    </w:p>
    <w:p w14:paraId="57ACF2B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4317365" cy="2510790"/>
            <wp:effectExtent l="0" t="0" r="0" b="1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510790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371DE790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  <w:lang w:val="en-US" w:eastAsia="zh-CN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5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3FC6F8B9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0" w:firstLineChars="200"/>
        <w:jc w:val="left"/>
        <w:textAlignment w:val="auto"/>
        <w:rPr>
          <w:rFonts w:hint="eastAsia" w:ascii="Times New Roman" w:hAnsi="Times New Roman" w:eastAsia="楷体_GB2312" w:cs="楷体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t>1.3建筑垃圾减量化模块</w:t>
      </w:r>
    </w:p>
    <w:p w14:paraId="40D7C8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“建筑垃圾减量化”列表将展示与施工单位项目经理所绑定的项目（施工许可证书）。</w:t>
      </w:r>
    </w:p>
    <w:p w14:paraId="0708FF3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5267325" cy="28327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59" cy="283273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17F23BD8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hint="eastAsia" w:ascii="Times New Roman" w:hAnsi="Times New Roman"/>
          <w:color w:val="auto"/>
          <w:sz w:val="28"/>
          <w:szCs w:val="28"/>
          <w:lang w:val="en-US" w:eastAsia="zh-CN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6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2A671D1C">
      <w:pPr>
        <w:pStyle w:val="4"/>
        <w:keepNext/>
        <w:keepLines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firstLine="640" w:firstLineChars="200"/>
        <w:textAlignment w:val="auto"/>
        <w:rPr>
          <w:rFonts w:hint="eastAsia" w:ascii="Times New Roman" w:hAnsi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/>
          <w:color w:val="auto"/>
          <w:sz w:val="32"/>
          <w:szCs w:val="32"/>
          <w:lang w:val="en-US" w:eastAsia="zh-CN"/>
        </w:rPr>
        <w:t>1.3.1项目信息</w:t>
      </w:r>
    </w:p>
    <w:p w14:paraId="5AB7A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基于项目对应点击【项目信息】按钮，进入项目内，补全相关项目信息。补全的项目信息具体如下：</w:t>
      </w:r>
    </w:p>
    <w:p w14:paraId="1584D4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是否使用金属模板：必填，下拉选择是、否。</w:t>
      </w:r>
    </w:p>
    <w:p w14:paraId="086C81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是否采用精装修：必填，下拉选择是、否。</w:t>
      </w:r>
    </w:p>
    <w:p w14:paraId="34D9D2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是否装配式项目：必填，下拉选择是、否。</w:t>
      </w:r>
    </w:p>
    <w:p w14:paraId="66C272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装配率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%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）：必填，仅支持填写数字。</w:t>
      </w:r>
    </w:p>
    <w:p w14:paraId="68CDC9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建筑垃圾负责人姓名：必填。</w:t>
      </w:r>
    </w:p>
    <w:p w14:paraId="53731A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建筑垃圾负责人电话号码：必填。</w:t>
      </w:r>
    </w:p>
    <w:p w14:paraId="196AD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建筑垃圾运输单位：必填，下拉选择系统内所提供的建筑垃圾运输单位。</w:t>
      </w:r>
    </w:p>
    <w:p w14:paraId="639883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运输车辆：点击新增，下拉选择系统内所提供的建筑垃圾运输车辆对应的车牌号。</w:t>
      </w:r>
    </w:p>
    <w:p w14:paraId="4F8B31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建筑垃圾消纳单位：点击新增，下拉选择系统内所提供的建筑垃圾消纳单位，自行填写消纳场所地址。</w:t>
      </w:r>
    </w:p>
    <w:p w14:paraId="2BF831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工程渣土（含泥浆）估算量（m³）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（按照《施工现场建筑垃圾减量化技术标准》（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JGJ/T498-2024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）测算估算量，以下其他建筑垃圾种类估算量同按标准估算）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 w14:paraId="2379D2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工程垃圾（含装修垃圾、拆除垃圾）估算量（kg）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4317BE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建筑垃圾减量化方案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：必传，支持ZIP、PDF、Word、PNG、JPG等格式文件，支持多个附件。</w:t>
      </w:r>
    </w:p>
    <w:p w14:paraId="77EF9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工程渣土估算排放总量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m³）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217D9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工程渣土实际排放总量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m³）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：必填，仅支持填写数字，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（项目完工后，填写实际排放总量，以下其他建筑垃圾种类实际排放总量同在项目完工填写）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 w14:paraId="7B1096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工程渣土减量化指数（%）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：不可编辑，系统通过所填写的估算排放总量及实际排放总量自动计算。</w:t>
      </w:r>
    </w:p>
    <w:p w14:paraId="46E21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工程泥浆估算排放总量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m³）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3C7ABF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工程泥浆实际排放总量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m³）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54E15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工程泥浆减量化指数（%）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：不可编辑，系统通过所填写的估算排放总量及实际排放总量自动计算。</w:t>
      </w:r>
    </w:p>
    <w:p w14:paraId="442DFA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工程泥浆估算排放总量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m³）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58113E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工程泥浆实际排放总量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m³）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36BE15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工程泥浆减量化指数（%）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：不可编辑，系统通过所填写的估算排放总量及实际排放总量自动计算。</w:t>
      </w:r>
    </w:p>
    <w:p w14:paraId="707634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工程弃料单位面积估算排放总量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kg/m²）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2BDCEE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工程弃料单位面积实际排放总量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kg/m²）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6EE008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工程弃料减量化指数（%）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：不可编辑，系统通过所填写的估算排放总量及实际排放总量自动计算。</w:t>
      </w:r>
    </w:p>
    <w:p w14:paraId="45EDBB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金属类工程弃料单位面积估算排放总量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kg/m²）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32CC2A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金属类工程弃料单位面积实际排放总量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kg/m²）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32E457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金属类工程弃料减量化指数（%）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：不可编辑，系统通过所填写的估算排放总量及实际排放总量自动计算。</w:t>
      </w:r>
    </w:p>
    <w:p w14:paraId="0A9966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无机非金属类工程弃料单位面积估算排放总量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kg/m²）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226A11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无机非金属类工程弃料单位面积实际排放总量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kg/m²）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593202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无机非金属类工程弃料减量化指数（%）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：不可编辑，系统通过所填写的估算排放总量及实际排放总量自动计算。</w:t>
      </w:r>
    </w:p>
    <w:p w14:paraId="4A440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有机金属类与混合类工程弃料单位面积估算排放总量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kg/m²）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763D2E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有机金属类与混合类工程弃料单位面积实际排放总量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kg/m²）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：必填，仅支持填写数字。</w:t>
      </w:r>
    </w:p>
    <w:p w14:paraId="155832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lang w:val="en-US" w:eastAsia="zh-CN"/>
        </w:rPr>
        <w:t>有机金属类与混合类工程弃料减量化指数（%）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：不可编辑，系统通过所填写的估算排放总量及实际排放总量自动计算。</w:t>
      </w:r>
    </w:p>
    <w:p w14:paraId="4F3061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5268595" cy="2857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57500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4CF5E187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7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39F883A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5260340" cy="2703195"/>
            <wp:effectExtent l="0" t="0" r="0" b="1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319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04B439B6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8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345F58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5260340" cy="2703195"/>
            <wp:effectExtent l="0" t="0" r="0" b="1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319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45CBECC1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9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4D924D3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5260340" cy="2703195"/>
            <wp:effectExtent l="0" t="0" r="0" b="1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319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4DF82656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10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5A0CAE88">
      <w:pPr>
        <w:pStyle w:val="4"/>
        <w:keepNext/>
        <w:keepLines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0" w:firstLine="640" w:firstLineChars="200"/>
        <w:textAlignment w:val="auto"/>
        <w:rPr>
          <w:rFonts w:ascii="Times New Roman" w:hAnsi="Times New Roman"/>
          <w:b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/>
          <w:b/>
          <w:color w:val="auto"/>
          <w:sz w:val="32"/>
          <w:szCs w:val="32"/>
          <w:lang w:val="en-US" w:eastAsia="zh-CN"/>
        </w:rPr>
        <w:t>1.3.2减量化管理</w:t>
      </w:r>
    </w:p>
    <w:p w14:paraId="10DD6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基于项目对应点击【减量化管理】按钮，进行建筑垃圾出场每次出场时的信息登记。</w:t>
      </w:r>
    </w:p>
    <w:p w14:paraId="2EC4C4F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5265420" cy="2804795"/>
            <wp:effectExtent l="0" t="0" r="1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479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08986D85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11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38DB0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点击【建筑垃圾出场登记】，进行建筑垃圾出场登记。建筑垃圾出场登记填写内容如下：</w:t>
      </w:r>
    </w:p>
    <w:p w14:paraId="2F7041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车牌号：必填，下拉选择项目下已绑定的建筑垃圾运输车辆。</w:t>
      </w:r>
    </w:p>
    <w:p w14:paraId="18D03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其他车辆：条件触发，当为“其他车辆”时，车牌号支持手动填写。</w:t>
      </w:r>
    </w:p>
    <w:p w14:paraId="5BF14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备注：条件触发，当为"其他车辆”时，须在“备注”注明理由。</w:t>
      </w:r>
    </w:p>
    <w:p w14:paraId="2EDEE2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出场时间：必填，时间选择。</w:t>
      </w:r>
    </w:p>
    <w:p w14:paraId="1C5D1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建筑垃圾类别：必选，支持多个类别选择。</w:t>
      </w:r>
    </w:p>
    <w:p w14:paraId="5E96A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建筑垃圾对应的重量：必填，基于所选择的建筑垃圾类别，对应填写重量。</w:t>
      </w:r>
    </w:p>
    <w:p w14:paraId="3ECB9F8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5260340" cy="2703195"/>
            <wp:effectExtent l="0" t="0" r="0" b="1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319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7BA70627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12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724359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选择车牌号、选择出场时间、选择建筑垃圾类别（支持多选），基于所选择的建筑垃圾类别填写重量。</w:t>
      </w:r>
    </w:p>
    <w:p w14:paraId="3139910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5271770" cy="2600325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4" cy="260032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08472B9C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13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0F24B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填报完成后，查看出入明细及运输情况统计。针对出入明细支持编辑、删除、信息查看等操作，通过【编辑】、【删除】、【车辆出场信息查看】按钮进行。</w:t>
      </w:r>
    </w:p>
    <w:p w14:paraId="7936F3C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5260340" cy="2703195"/>
            <wp:effectExtent l="0" t="0" r="0" b="1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319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3A1E5C8B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14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32F0B632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0" w:firstLineChars="200"/>
        <w:jc w:val="left"/>
        <w:textAlignment w:val="auto"/>
        <w:rPr>
          <w:rFonts w:ascii="Times New Roman" w:hAnsi="Times New Roman" w:eastAsia="楷体_GB2312" w:cs="楷体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楷体_GB2312"/>
          <w:b w:val="0"/>
          <w:bCs w:val="0"/>
          <w:color w:val="auto"/>
          <w:sz w:val="32"/>
          <w:szCs w:val="32"/>
          <w:lang w:val="en-US" w:eastAsia="zh-CN"/>
        </w:rPr>
        <w:t>1.4可再生品利用模块</w:t>
      </w:r>
    </w:p>
    <w:p w14:paraId="3DD68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“可再生品利用”列表将展示与施工单位项目经理所绑定的项目。</w:t>
      </w:r>
    </w:p>
    <w:p w14:paraId="01EAEDD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5265420" cy="2783205"/>
            <wp:effectExtent l="0" t="0" r="1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320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04EB494E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15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662688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点击【可再生品利用】进入项目，填报相关信息。</w:t>
      </w:r>
    </w:p>
    <w:p w14:paraId="496D586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4768850" cy="2516505"/>
            <wp:effectExtent l="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517139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58C2B5A0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16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1B84E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点击【新增】，填报可再生品利用情况。所填写的具体信息项如下：</w:t>
      </w:r>
    </w:p>
    <w:p w14:paraId="04E6D8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产品名称：必选，仅支持单选。</w:t>
      </w:r>
    </w:p>
    <w:p w14:paraId="2214E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应用部位：必选，仅支持单选。</w:t>
      </w:r>
    </w:p>
    <w:p w14:paraId="17295A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可再生品利用量：必填，自行填写。</w:t>
      </w:r>
    </w:p>
    <w:p w14:paraId="11C34F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备注：必填，自行填写。</w:t>
      </w:r>
    </w:p>
    <w:p w14:paraId="05DCB9E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4749165" cy="2440305"/>
            <wp:effectExtent l="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440939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03DC3612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  <w:lang w:val="en-US" w:eastAsia="zh-CN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17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p w14:paraId="786717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firstLine="640" w:firstLineChars="200"/>
        <w:jc w:val="both"/>
        <w:textAlignment w:val="auto"/>
        <w:rPr>
          <w:rFonts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当填写完成后，将出现所填写的可再生品利用记录，并支持编辑、删除，通过点击【编辑】、【删除】按钮进行。</w:t>
      </w:r>
    </w:p>
    <w:p w14:paraId="02047EB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both"/>
        <w:textAlignment w:val="auto"/>
        <w:rPr>
          <w:rFonts w:ascii="Times New Roman" w:hAnsi="Times New Roman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/>
          <w:color w:val="auto"/>
          <w:sz w:val="32"/>
          <w:szCs w:val="32"/>
        </w:rPr>
        <w:drawing>
          <wp:inline distT="0" distB="0" distL="114300" distR="114300">
            <wp:extent cx="5260340" cy="2703195"/>
            <wp:effectExtent l="0" t="0" r="0" b="1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3195"/>
                    </a:xfrm>
                    <a:prstGeom prst="rect">
                      <a:avLst/>
                    </a:prstGeom>
                    <a:noFill/>
                    <a:ln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 w14:paraId="36A27E0B"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/>
        <w:jc w:val="center"/>
        <w:textAlignment w:val="auto"/>
        <w:rPr>
          <w:rFonts w:ascii="Times New Roman" w:hAnsi="Times New Roman"/>
          <w:color w:val="auto"/>
          <w:sz w:val="28"/>
          <w:szCs w:val="28"/>
          <w:lang w:val="en-US" w:eastAsia="zh-CN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图 </w:t>
      </w:r>
      <w:r>
        <w:rPr>
          <w:rFonts w:ascii="Times New Roman" w:hAnsi="Times New Roman"/>
          <w:color w:val="auto"/>
          <w:sz w:val="28"/>
          <w:szCs w:val="28"/>
        </w:rPr>
        <w:fldChar w:fldCharType="begin"/>
      </w:r>
      <w:r>
        <w:rPr>
          <w:rFonts w:ascii="Times New Roman" w:hAnsi="Times New Roman"/>
          <w:color w:val="auto"/>
          <w:sz w:val="28"/>
          <w:szCs w:val="28"/>
        </w:rPr>
        <w:instrText xml:space="preserve"> SEQ 图 \* ARABIC </w:instrText>
      </w:r>
      <w:r>
        <w:rPr>
          <w:rFonts w:ascii="Times New Roman" w:hAnsi="Times New Roman"/>
          <w:color w:val="auto"/>
          <w:sz w:val="28"/>
          <w:szCs w:val="28"/>
        </w:rPr>
        <w:fldChar w:fldCharType="separate"/>
      </w:r>
      <w:r>
        <w:rPr>
          <w:rFonts w:ascii="Times New Roman" w:hAnsi="Times New Roman"/>
          <w:color w:val="auto"/>
          <w:sz w:val="28"/>
          <w:szCs w:val="28"/>
        </w:rPr>
        <w:t>1</w:t>
      </w:r>
      <w:r>
        <w:rPr>
          <w:rFonts w:hint="eastAsia" w:ascii="Times New Roman" w:hAnsi="Times New Roman"/>
          <w:color w:val="auto"/>
          <w:sz w:val="28"/>
          <w:szCs w:val="28"/>
          <w:lang w:val="en-US" w:eastAsia="zh-CN"/>
        </w:rPr>
        <w:t>8</w:t>
      </w:r>
      <w:r>
        <w:rPr>
          <w:rFonts w:ascii="Times New Roman" w:hAnsi="Times New Roman"/>
          <w:color w:val="auto"/>
          <w:sz w:val="28"/>
          <w:szCs w:val="28"/>
        </w:rPr>
        <w:fldChar w:fldCharType="end"/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Sans">
    <w:panose1 w:val="020B0602030504020204"/>
    <w:charset w:val="00"/>
    <w:family w:val="auto"/>
    <w:pitch w:val="default"/>
    <w:sig w:usb0="00000003" w:usb1="00000000" w:usb2="00000000" w:usb3="00000000" w:csb0="2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E722AC">
    <w:pPr>
      <w:pStyle w:val="9"/>
      <w:tabs>
        <w:tab w:val="right" w:pos="8306"/>
        <w:tab w:val="clear" w:pos="8307"/>
      </w:tabs>
      <w:jc w:val="center"/>
    </w:pPr>
  </w:p>
  <w:p w14:paraId="40C14215">
    <w:pPr>
      <w:pStyle w:val="9"/>
      <w:tabs>
        <w:tab w:val="right" w:pos="8306"/>
        <w:tab w:val="clear" w:pos="8307"/>
      </w:tabs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</w:compat>
  <w:rsids>
    <w:rsidRoot w:val="00000000"/>
    <w:rsid w:val="7D14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Lucida San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qFormat/>
    <w:uiPriority w:val="0"/>
    <w:pPr>
      <w:keepNext/>
      <w:keepLines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4">
    <w:name w:val="heading 3"/>
    <w:basedOn w:val="1"/>
    <w:next w:val="1"/>
    <w:link w:val="19"/>
    <w:qFormat/>
    <w:uiPriority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qFormat/>
    <w:uiPriority w:val="0"/>
  </w:style>
  <w:style w:type="table" w:default="1" w:styleId="1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1"/>
    <w:qFormat/>
    <w:uiPriority w:val="0"/>
    <w:pPr>
      <w:widowControl/>
      <w:ind w:firstLine="420"/>
    </w:pPr>
    <w:rPr>
      <w:rFonts w:ascii="Calibri" w:hAnsi="Calibri" w:cs="Times New Roman"/>
      <w:szCs w:val="24"/>
    </w:rPr>
  </w:style>
  <w:style w:type="paragraph" w:styleId="6">
    <w:name w:val="caption"/>
    <w:basedOn w:val="1"/>
    <w:next w:val="1"/>
    <w:qFormat/>
    <w:uiPriority w:val="0"/>
    <w:rPr>
      <w:rFonts w:ascii="Arial" w:hAnsi="Arial" w:eastAsia="黑体"/>
      <w:sz w:val="20"/>
    </w:rPr>
  </w:style>
  <w:style w:type="paragraph" w:styleId="7">
    <w:name w:val="toc 5"/>
    <w:basedOn w:val="1"/>
    <w:next w:val="1"/>
    <w:autoRedefine/>
    <w:qFormat/>
    <w:uiPriority w:val="0"/>
    <w:pPr>
      <w:ind w:left="1680"/>
    </w:pPr>
  </w:style>
  <w:style w:type="paragraph" w:styleId="8">
    <w:name w:val="toc 3"/>
    <w:basedOn w:val="1"/>
    <w:next w:val="1"/>
    <w:autoRedefine/>
    <w:qFormat/>
    <w:uiPriority w:val="0"/>
    <w:pPr>
      <w:ind w:left="84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qFormat/>
    <w:uiPriority w:val="0"/>
  </w:style>
  <w:style w:type="paragraph" w:styleId="12">
    <w:name w:val="toc 4"/>
    <w:basedOn w:val="1"/>
    <w:next w:val="1"/>
    <w:autoRedefine/>
    <w:qFormat/>
    <w:uiPriority w:val="0"/>
    <w:pPr>
      <w:ind w:left="1260"/>
    </w:pPr>
  </w:style>
  <w:style w:type="paragraph" w:styleId="13">
    <w:name w:val="toc 2"/>
    <w:basedOn w:val="1"/>
    <w:next w:val="1"/>
    <w:autoRedefine/>
    <w:qFormat/>
    <w:uiPriority w:val="0"/>
    <w:pPr>
      <w:ind w:left="420"/>
    </w:pPr>
  </w:style>
  <w:style w:type="paragraph" w:styleId="1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customStyle="1" w:styleId="17">
    <w:name w:val="heading 1 Char"/>
    <w:basedOn w:val="16"/>
    <w:link w:val="2"/>
    <w:qFormat/>
    <w:uiPriority w:val="0"/>
    <w:rPr>
      <w:rFonts w:ascii="等线" w:hAnsi="等线" w:eastAsia="等线" w:cs="Arial"/>
      <w:b/>
      <w:bCs/>
      <w:kern w:val="44"/>
      <w:sz w:val="44"/>
      <w:szCs w:val="44"/>
      <w:lang w:val="en-US" w:eastAsia="zh-CN" w:bidi="ar-SA"/>
    </w:rPr>
  </w:style>
  <w:style w:type="character" w:customStyle="1" w:styleId="18">
    <w:name w:val="heading 2 Char"/>
    <w:basedOn w:val="16"/>
    <w:link w:val="3"/>
    <w:qFormat/>
    <w:uiPriority w:val="0"/>
    <w:rPr>
      <w:rFonts w:ascii="Times New Roman" w:hAnsi="Times New Roman" w:eastAsia="黑体" w:cs="Arial"/>
      <w:b/>
      <w:bCs/>
      <w:kern w:val="2"/>
      <w:sz w:val="32"/>
      <w:szCs w:val="32"/>
      <w:lang w:val="en-US" w:eastAsia="zh-CN" w:bidi="ar-SA"/>
    </w:rPr>
  </w:style>
  <w:style w:type="character" w:customStyle="1" w:styleId="19">
    <w:name w:val="heading 3 Char"/>
    <w:basedOn w:val="16"/>
    <w:link w:val="4"/>
    <w:qFormat/>
    <w:uiPriority w:val="0"/>
    <w:rPr>
      <w:rFonts w:ascii="等线" w:hAnsi="等线" w:eastAsia="等线" w:cs="Arial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WPS">
      <a:fillStyleLst>
        <a:solidFill>
          <a:schemeClr val="phClr"/>
        </a:solidFill>
        <a:gradFill rotWithShape="1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1"/>
        </a:gradFill>
        <a:gradFill rotWithShape="1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1"/>
        </a:gradFill>
      </a:fillStyleLst>
      <a:lnStyleLst>
        <a:ln w="12700" cap="flat" cmpd="sng">
          <a:solidFill>
            <a:schemeClr val="phClr"/>
          </a:solidFill>
          <a:prstDash val="solid"/>
          <a:miter/>
        </a:ln>
        <a:ln w="12700" cap="flat" cmpd="sng">
          <a:solidFill>
            <a:schemeClr val="phClr"/>
          </a:solidFill>
          <a:prstDash val="solid"/>
          <a:miter/>
        </a:ln>
        <a:ln w="12700" cap="flat" cmpd="sng">
          <a:gradFill rotWithShape="1"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26650 1 1 1 1 1"/>
    <sectPr/>
    <sectPr/>
  </customProps>
</customData>
</file>

<file path=customXml/itemProps1.xml><?xml version="1.0" encoding="utf-8"?>
<ds:datastoreItem xmlns:ds="http://schemas.openxmlformats.org/officeDocument/2006/customXml" ds:itemID="{4DB83BE4-8B6F-414D-BA2C-27DD1F460A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14</Pages>
  <Words>1432</Words>
  <Characters>1464</Characters>
  <Lines>0</Lines>
  <Paragraphs>182</Paragraphs>
  <TotalTime>19</TotalTime>
  <ScaleCrop>false</ScaleCrop>
  <LinksUpToDate>false</LinksUpToDate>
  <CharactersWithSpaces>1469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2025-06-09T09:56:00Z</dcterms:created>
  <dc:creator>工作用</dc:creator>
  <cp:lastModifiedBy>工作用</cp:lastModifiedBy>
  <cp:lastPrinted>2025-06-10T00:43:00Z</cp:lastPrinted>
  <dcterms:modified xsi:type="dcterms:W3CDTF">2025-11-07T06:38:58Z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0F912BA75EA04BCEA9E7E4C24578F724_13</vt:lpwstr>
  </property>
  <property fmtid="{D5CDD505-2E9C-101B-9397-08002B2CF9AE}" pid="4" name="KSOTemplateDocerSaveRecord">
    <vt:lpwstr>eyJoZGlkIjoiOTc1NGZmYWE0ZjVkNzhhMDRkNTA1OTdmNGU5N2FlNTgiLCJ1c2VySWQiOiIyNzY4NzUyNDkifQ==</vt:lpwstr>
  </property>
</Properties>
</file>