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天津市房产管理服务中心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天津市房产管理服务中心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房产管理服务中心是天津市住房和城乡建设委员会所属公益二类事业单位，承担市级公用公房（党政机关办公用房除外）运营、维修等管理，以及资产管理的相关事务性工作；承担各区公用公房（党政机关办公用房除外）运营管理的业务指导；承担对市内六区直管公房统一进行经营和修缮管理工作；承担市内六区、环城四区公共租赁住房的运营管理工作；按政府制订的租金标准收取租金，编制租金使用计划，保证房屋使用安全</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房产管理服务中心共设16个部、室，分别是：党委办公室、办公室、运营管理部、产业经营部、经租资产管理部、保管自修管理部、修缮工程部、公租房运营部、重点项目部、房产经理部、策划部、纪委办公室、干部人事部、财务部、总务部、信访办公室</w:t>
      </w:r>
      <w:r>
        <w:rPr>
          <w:rFonts w:ascii="仿宋_GB2312" w:eastAsia="仿宋_GB2312" w:hint="eastAsia"/>
          <w:sz w:val="30"/>
          <w:szCs w:val="30"/>
        </w:rPr>
        <w:t xml:space="preserve">；纳入</w:t>
      </w:r>
      <w:r>
        <w:rPr>
          <w:rFonts w:ascii="仿宋_GB2312" w:eastAsia="仿宋_GB2312" w:hint="eastAsia"/>
          <w:sz w:val="30"/>
          <w:szCs w:val="30"/>
        </w:rPr>
        <w:t xml:space="preserve">天津市房产管理服务中心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1.天津市房产管理服务中心本级。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单位：天津市房产管理服务中心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49,409,064.50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3,843,987.12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1,521,581.65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36,601,871.22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58,547,704.17</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86,010,935.72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63,913,272.94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22,097,662.78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86,010,935.72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86,010,935.72</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单位：天津市房产管理服务中心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86,010,935.72</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49,409,064.50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36,601,871.22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3,843,987.12</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3,843,987.12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3,843,987.12</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3,843,987.12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2,562,658.08</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2,562,658.08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1,281,329.04</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1,281,329.04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1,521,581.65</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1,521,581.65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1,521,581.65</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1,521,581.65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1,521,581.65</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1,521,581.65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80,645,366.95</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44,043,495.73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36,601,871.22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80,645,366.95</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44,043,495.73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36,601,871.22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2129999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80,645,366.95</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44,043,495.73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36,601,871.22</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单位：天津市房产管理服务中心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86,010,935.72</w:t>
            </w:r>
          </w:p>
        </w:tc>
        <w:tc>
          <w:tcPr>
            <w:tcW w:w="580" w:type="dxa"/>
            <w:tcBorders/>
            <w:vAlign w:val="center"/>
          </w:tcPr>
          <w:p>
            <w:pPr>
              <w:snapToGrid w:val="0"/>
              <w:jc w:val="right"/>
            </w:pPr>
            <w:r>
              <w:rPr>
                <w:rFonts w:ascii="宋体" w:eastAsia="宋体" w:hAnsi="宋体" w:cs="宋体"/>
                <w:b w:val="0"/>
                <w:i w:val="0"/>
                <w:color w:val="000000"/>
                <w:sz w:val="9"/>
              </w:rPr>
              <w:t xml:space="preserve">86,010,935.72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49,409,064.50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36,601,871.22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325702</w:t>
            </w:r>
          </w:p>
        </w:tc>
        <w:tc>
          <w:tcPr>
            <w:tcW w:w="1520" w:type="dxa"/>
            <w:tcBorders/>
            <w:vAlign w:val="center"/>
          </w:tcPr>
          <w:p>
            <w:pPr>
              <w:snapToGrid w:val="0"/>
              <w:jc w:val="center"/>
            </w:pPr>
            <w:r>
              <w:rPr>
                <w:rFonts w:ascii="宋体" w:eastAsia="宋体" w:hAnsi="宋体" w:cs="宋体"/>
                <w:b w:val="0"/>
                <w:i w:val="0"/>
                <w:color w:val="000000"/>
                <w:sz w:val="9"/>
              </w:rPr>
              <w:t xml:space="preserve">天津市房产管理服务中心</w:t>
            </w:r>
          </w:p>
        </w:tc>
        <w:tc>
          <w:tcPr>
            <w:tcW w:w="580" w:type="dxa"/>
            <w:tcBorders/>
            <w:vAlign w:val="center"/>
          </w:tcPr>
          <w:p>
            <w:pPr>
              <w:snapToGrid w:val="0"/>
              <w:jc w:val="right"/>
            </w:pPr>
            <w:r>
              <w:rPr>
                <w:rFonts w:ascii="宋体" w:eastAsia="宋体" w:hAnsi="宋体" w:cs="宋体"/>
                <w:b w:val="0"/>
                <w:i w:val="0"/>
                <w:color w:val="000000"/>
                <w:sz w:val="9"/>
              </w:rPr>
              <w:t xml:space="preserve">86,010,935.72</w:t>
            </w:r>
          </w:p>
        </w:tc>
        <w:tc>
          <w:tcPr>
            <w:tcW w:w="580" w:type="dxa"/>
            <w:tcBorders/>
            <w:vAlign w:val="center"/>
          </w:tcPr>
          <w:p>
            <w:pPr>
              <w:snapToGrid w:val="0"/>
              <w:jc w:val="right"/>
            </w:pPr>
            <w:r>
              <w:rPr>
                <w:rFonts w:ascii="宋体" w:eastAsia="宋体" w:hAnsi="宋体" w:cs="宋体"/>
                <w:b w:val="0"/>
                <w:i w:val="0"/>
                <w:color w:val="000000"/>
                <w:sz w:val="9"/>
              </w:rPr>
              <w:t xml:space="preserve">86,010,935.72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49,409,064.50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36,601,871.22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单位：天津市房产管理服务中心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63,913,272.94</w:t>
            </w:r>
          </w:p>
        </w:tc>
        <w:tc>
          <w:tcPr>
            <w:tcW w:w="1320" w:type="dxa"/>
            <w:tcBorders/>
            <w:vAlign w:val="center"/>
          </w:tcPr>
          <w:p>
            <w:pPr>
              <w:snapToGrid w:val="0"/>
              <w:jc w:val="right"/>
            </w:pPr>
            <w:r>
              <w:rPr>
                <w:rFonts w:ascii="宋体" w:eastAsia="宋体" w:hAnsi="宋体" w:cs="宋体"/>
                <w:b w:val="0"/>
                <w:i w:val="0"/>
                <w:color w:val="000000"/>
                <w:sz w:val="15"/>
              </w:rPr>
              <w:t xml:space="preserve">39,017,394.90</w:t>
            </w:r>
          </w:p>
        </w:tc>
        <w:tc>
          <w:tcPr>
            <w:tcW w:w="1320" w:type="dxa"/>
            <w:tcBorders/>
            <w:vAlign w:val="center"/>
          </w:tcPr>
          <w:p>
            <w:pPr>
              <w:snapToGrid w:val="0"/>
              <w:jc w:val="right"/>
            </w:pPr>
            <w:r>
              <w:rPr>
                <w:rFonts w:ascii="宋体" w:eastAsia="宋体" w:hAnsi="宋体" w:cs="宋体"/>
                <w:b w:val="0"/>
                <w:i w:val="0"/>
                <w:color w:val="000000"/>
                <w:sz w:val="15"/>
              </w:rPr>
              <w:t xml:space="preserve">24,895,878.04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3,843,987.12</w:t>
            </w:r>
          </w:p>
        </w:tc>
        <w:tc>
          <w:tcPr>
            <w:tcW w:w="1320" w:type="dxa"/>
            <w:tcBorders/>
            <w:vAlign w:val="center"/>
          </w:tcPr>
          <w:p>
            <w:pPr>
              <w:snapToGrid w:val="0"/>
              <w:jc w:val="right"/>
            </w:pPr>
            <w:r>
              <w:rPr>
                <w:rFonts w:ascii="宋体" w:eastAsia="宋体" w:hAnsi="宋体" w:cs="宋体"/>
                <w:b w:val="0"/>
                <w:i w:val="0"/>
                <w:color w:val="000000"/>
                <w:sz w:val="15"/>
              </w:rPr>
              <w:t xml:space="preserve">3,843,987.12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3,843,987.12</w:t>
            </w:r>
          </w:p>
        </w:tc>
        <w:tc>
          <w:tcPr>
            <w:tcW w:w="1320" w:type="dxa"/>
            <w:tcBorders/>
            <w:vAlign w:val="center"/>
          </w:tcPr>
          <w:p>
            <w:pPr>
              <w:snapToGrid w:val="0"/>
              <w:jc w:val="right"/>
            </w:pPr>
            <w:r>
              <w:rPr>
                <w:rFonts w:ascii="宋体" w:eastAsia="宋体" w:hAnsi="宋体" w:cs="宋体"/>
                <w:b w:val="0"/>
                <w:i w:val="0"/>
                <w:color w:val="000000"/>
                <w:sz w:val="15"/>
              </w:rPr>
              <w:t xml:space="preserve">3,843,987.12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2,562,658.08</w:t>
            </w:r>
          </w:p>
        </w:tc>
        <w:tc>
          <w:tcPr>
            <w:tcW w:w="1320" w:type="dxa"/>
            <w:tcBorders/>
            <w:vAlign w:val="center"/>
          </w:tcPr>
          <w:p>
            <w:pPr>
              <w:snapToGrid w:val="0"/>
              <w:jc w:val="right"/>
            </w:pPr>
            <w:r>
              <w:rPr>
                <w:rFonts w:ascii="宋体" w:eastAsia="宋体" w:hAnsi="宋体" w:cs="宋体"/>
                <w:b w:val="0"/>
                <w:i w:val="0"/>
                <w:color w:val="000000"/>
                <w:sz w:val="15"/>
              </w:rPr>
              <w:t xml:space="preserve">2,562,658.08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1,281,329.04</w:t>
            </w:r>
          </w:p>
        </w:tc>
        <w:tc>
          <w:tcPr>
            <w:tcW w:w="1320" w:type="dxa"/>
            <w:tcBorders/>
            <w:vAlign w:val="center"/>
          </w:tcPr>
          <w:p>
            <w:pPr>
              <w:snapToGrid w:val="0"/>
              <w:jc w:val="right"/>
            </w:pPr>
            <w:r>
              <w:rPr>
                <w:rFonts w:ascii="宋体" w:eastAsia="宋体" w:hAnsi="宋体" w:cs="宋体"/>
                <w:b w:val="0"/>
                <w:i w:val="0"/>
                <w:color w:val="000000"/>
                <w:sz w:val="15"/>
              </w:rPr>
              <w:t xml:space="preserve">1,281,329.04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1,521,581.65</w:t>
            </w:r>
          </w:p>
        </w:tc>
        <w:tc>
          <w:tcPr>
            <w:tcW w:w="1320" w:type="dxa"/>
            <w:tcBorders/>
            <w:vAlign w:val="center"/>
          </w:tcPr>
          <w:p>
            <w:pPr>
              <w:snapToGrid w:val="0"/>
              <w:jc w:val="right"/>
            </w:pPr>
            <w:r>
              <w:rPr>
                <w:rFonts w:ascii="宋体" w:eastAsia="宋体" w:hAnsi="宋体" w:cs="宋体"/>
                <w:b w:val="0"/>
                <w:i w:val="0"/>
                <w:color w:val="000000"/>
                <w:sz w:val="15"/>
              </w:rPr>
              <w:t xml:space="preserve">1,521,581.65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1,521,581.65</w:t>
            </w:r>
          </w:p>
        </w:tc>
        <w:tc>
          <w:tcPr>
            <w:tcW w:w="1320" w:type="dxa"/>
            <w:tcBorders/>
            <w:vAlign w:val="center"/>
          </w:tcPr>
          <w:p>
            <w:pPr>
              <w:snapToGrid w:val="0"/>
              <w:jc w:val="right"/>
            </w:pPr>
            <w:r>
              <w:rPr>
                <w:rFonts w:ascii="宋体" w:eastAsia="宋体" w:hAnsi="宋体" w:cs="宋体"/>
                <w:b w:val="0"/>
                <w:i w:val="0"/>
                <w:color w:val="000000"/>
                <w:sz w:val="15"/>
              </w:rPr>
              <w:t xml:space="preserve">1,521,581.65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1,521,581.65</w:t>
            </w:r>
          </w:p>
        </w:tc>
        <w:tc>
          <w:tcPr>
            <w:tcW w:w="1320" w:type="dxa"/>
            <w:tcBorders/>
            <w:vAlign w:val="center"/>
          </w:tcPr>
          <w:p>
            <w:pPr>
              <w:snapToGrid w:val="0"/>
              <w:jc w:val="right"/>
            </w:pPr>
            <w:r>
              <w:rPr>
                <w:rFonts w:ascii="宋体" w:eastAsia="宋体" w:hAnsi="宋体" w:cs="宋体"/>
                <w:b w:val="0"/>
                <w:i w:val="0"/>
                <w:color w:val="000000"/>
                <w:sz w:val="15"/>
              </w:rPr>
              <w:t xml:space="preserve">1,521,581.65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58,547,704.17</w:t>
            </w:r>
          </w:p>
        </w:tc>
        <w:tc>
          <w:tcPr>
            <w:tcW w:w="1320" w:type="dxa"/>
            <w:tcBorders/>
            <w:vAlign w:val="center"/>
          </w:tcPr>
          <w:p>
            <w:pPr>
              <w:snapToGrid w:val="0"/>
              <w:jc w:val="right"/>
            </w:pPr>
            <w:r>
              <w:rPr>
                <w:rFonts w:ascii="宋体" w:eastAsia="宋体" w:hAnsi="宋体" w:cs="宋体"/>
                <w:b w:val="0"/>
                <w:i w:val="0"/>
                <w:color w:val="000000"/>
                <w:sz w:val="15"/>
              </w:rPr>
              <w:t xml:space="preserve">33,651,826.13</w:t>
            </w:r>
          </w:p>
        </w:tc>
        <w:tc>
          <w:tcPr>
            <w:tcW w:w="1320" w:type="dxa"/>
            <w:tcBorders/>
            <w:vAlign w:val="center"/>
          </w:tcPr>
          <w:p>
            <w:pPr>
              <w:snapToGrid w:val="0"/>
              <w:jc w:val="right"/>
            </w:pPr>
            <w:r>
              <w:rPr>
                <w:rFonts w:ascii="宋体" w:eastAsia="宋体" w:hAnsi="宋体" w:cs="宋体"/>
                <w:b w:val="0"/>
                <w:i w:val="0"/>
                <w:color w:val="000000"/>
                <w:sz w:val="15"/>
              </w:rPr>
              <w:t xml:space="preserve">24,895,878.04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58,547,704.17</w:t>
            </w:r>
          </w:p>
        </w:tc>
        <w:tc>
          <w:tcPr>
            <w:tcW w:w="1320" w:type="dxa"/>
            <w:tcBorders/>
            <w:vAlign w:val="center"/>
          </w:tcPr>
          <w:p>
            <w:pPr>
              <w:snapToGrid w:val="0"/>
              <w:jc w:val="right"/>
            </w:pPr>
            <w:r>
              <w:rPr>
                <w:rFonts w:ascii="宋体" w:eastAsia="宋体" w:hAnsi="宋体" w:cs="宋体"/>
                <w:b w:val="0"/>
                <w:i w:val="0"/>
                <w:color w:val="000000"/>
                <w:sz w:val="15"/>
              </w:rPr>
              <w:t xml:space="preserve">33,651,826.13</w:t>
            </w:r>
          </w:p>
        </w:tc>
        <w:tc>
          <w:tcPr>
            <w:tcW w:w="1320" w:type="dxa"/>
            <w:tcBorders/>
            <w:vAlign w:val="center"/>
          </w:tcPr>
          <w:p>
            <w:pPr>
              <w:snapToGrid w:val="0"/>
              <w:jc w:val="right"/>
            </w:pPr>
            <w:r>
              <w:rPr>
                <w:rFonts w:ascii="宋体" w:eastAsia="宋体" w:hAnsi="宋体" w:cs="宋体"/>
                <w:b w:val="0"/>
                <w:i w:val="0"/>
                <w:color w:val="000000"/>
                <w:sz w:val="15"/>
              </w:rPr>
              <w:t xml:space="preserve">24,895,878.04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2129999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58,547,704.17</w:t>
            </w:r>
          </w:p>
        </w:tc>
        <w:tc>
          <w:tcPr>
            <w:tcW w:w="1320" w:type="dxa"/>
            <w:tcBorders/>
            <w:vAlign w:val="center"/>
          </w:tcPr>
          <w:p>
            <w:pPr>
              <w:snapToGrid w:val="0"/>
              <w:jc w:val="right"/>
            </w:pPr>
            <w:r>
              <w:rPr>
                <w:rFonts w:ascii="宋体" w:eastAsia="宋体" w:hAnsi="宋体" w:cs="宋体"/>
                <w:b w:val="0"/>
                <w:i w:val="0"/>
                <w:color w:val="000000"/>
                <w:sz w:val="15"/>
              </w:rPr>
              <w:t xml:space="preserve">33,651,826.13</w:t>
            </w:r>
          </w:p>
        </w:tc>
        <w:tc>
          <w:tcPr>
            <w:tcW w:w="1320" w:type="dxa"/>
            <w:tcBorders/>
            <w:vAlign w:val="center"/>
          </w:tcPr>
          <w:p>
            <w:pPr>
              <w:snapToGrid w:val="0"/>
              <w:jc w:val="right"/>
            </w:pPr>
            <w:r>
              <w:rPr>
                <w:rFonts w:ascii="宋体" w:eastAsia="宋体" w:hAnsi="宋体" w:cs="宋体"/>
                <w:b w:val="0"/>
                <w:i w:val="0"/>
                <w:color w:val="000000"/>
                <w:sz w:val="15"/>
              </w:rPr>
              <w:t xml:space="preserve">24,895,878.04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单位：天津市房产管理服务中心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天津市房产管理服务中心2024年度财政拨款收入支出决算总表为空表。</w:t>
      </w:r>
      <w:bookmarkStart w:id="24" w:name="_Toc1872910203"/>
      <w:bookmarkStart w:id="25" w:name="_Toc524951764"/>
      <w:bookmarkStart w:id="26" w:name="_Toc143776408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7" w:name="_Toc1169939169"/>
      <w:r>
        <w:rPr>
          <w:rFonts w:ascii="黑体" w:eastAsia="黑体" w:hAnsi="黑体" w:hint="eastAsia"/>
          <w:sz w:val="30"/>
          <w:szCs w:val="30"/>
        </w:rPr>
        <w:t xml:space="preserve">六、《一般公共预算财政拨款支出决算表》</w:t>
      </w:r>
      <w:bookmarkEnd w:id="24"/>
      <w:bookmarkEnd w:id="25"/>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单位：天津市房产管理服务中心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天津市房产管理服务中心2024年度一般公共预算财政拨款支出决算表为空表。</w:t>
      </w:r>
      <w:bookmarkStart w:id="28" w:name="_Toc1014896516"/>
      <w:bookmarkStart w:id="29" w:name="_Toc1001475672"/>
      <w:bookmarkStart w:id="30" w:name="_Toc186484095"/>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807341451"/>
      <w:r>
        <w:rPr>
          <w:rFonts w:ascii="黑体" w:eastAsia="黑体" w:hAnsi="黑体" w:hint="eastAsia"/>
          <w:sz w:val="30"/>
          <w:szCs w:val="30"/>
        </w:rPr>
        <w:t xml:space="preserve">七、《一般公共预算财政拨款基本支出决算表》</w:t>
      </w:r>
      <w:bookmarkEnd w:id="28"/>
      <w:bookmarkEnd w:id="29"/>
      <w:bookmarkEnd w:id="30"/>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单位：天津市房产管理服务中心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天津市房产管理服务中心2024年度一般公共预算财政拨款基本支出决算表为空表。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32" w:name="_Toc2050619938"/>
      <w:bookmarkStart w:id="33" w:name="_Toc1186085211"/>
      <w:bookmarkStart w:id="34" w:name="_Toc1972277765"/>
      <w:bookmarkStart w:id="35" w:name="_Toc1059543692"/>
      <w:r>
        <w:rPr>
          <w:rFonts w:ascii="黑体" w:eastAsia="黑体" w:hAnsi="黑体" w:hint="eastAsia"/>
          <w:sz w:val="30"/>
          <w:szCs w:val="30"/>
        </w:rPr>
        <w:t xml:space="preserve">八、《政府性基金预算财政拨款收入支出决算表》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单位：天津市房产管理服务中心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天津市房产管理服务中心2024年度政府性基金预算财政拨款收入支出决算表为空表。</w:t>
      </w:r>
      <w:bookmarkStart w:id="36" w:name="_Toc816430520"/>
      <w:bookmarkStart w:id="37" w:name="_Toc1662304910"/>
      <w:bookmarkStart w:id="38"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9" w:name="_Toc1590929823"/>
      <w:r>
        <w:rPr>
          <w:rFonts w:ascii="黑体" w:eastAsia="黑体" w:hAnsi="黑体" w:hint="eastAsia"/>
          <w:sz w:val="30"/>
          <w:szCs w:val="30"/>
        </w:rPr>
        <w:t xml:space="preserve">九、《国有资本经营预算财政拨款收入支出决算表》</w:t>
      </w:r>
      <w:bookmarkEnd w:id="36"/>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单位：天津市房产管理服务中心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天津市房产管理服务中心2024年国有资本经营预算财政拨款收入支出决算表为空表。</w:t>
      </w:r>
      <w:bookmarkStart w:id="40" w:name="_Toc1743858547"/>
      <w:bookmarkStart w:id="41" w:name="_Toc1474728957"/>
      <w:bookmarkStart w:id="42"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43" w:name="_Toc438646364"/>
      <w:r>
        <w:rPr>
          <w:rFonts w:ascii="黑体" w:eastAsia="黑体" w:hAnsi="黑体" w:hint="eastAsia"/>
          <w:sz w:val="30"/>
          <w:szCs w:val="30"/>
        </w:rPr>
        <w:t xml:space="preserve">十、《财政拨款“三公”经费支出决算表》</w:t>
      </w:r>
      <w:bookmarkEnd w:id="40"/>
      <w:bookmarkEnd w:id="41"/>
      <w:bookmarkEnd w:id="42"/>
      <w:bookmarkEnd w:id="4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单位：天津市房产管理服务中心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天津市房产管理服务中心2024年财政拨款“三公”经费支出决算表为空表。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44" w:name="_Toc1660810272"/>
    </w:p>
    <w:p>
      <w:pPr>
        <w:pStyle w:val="Heading2"/>
        <w:spacing w:before="0" w:after="0" w:line="800" w:lineRule="exact"/>
        <w:ind w:firstLine="600" w:firstLineChars="200"/>
        <w:rPr>
          <w:rFonts w:ascii="黑体" w:eastAsia="黑体" w:hAnsi="黑体"/>
          <w:sz w:val="30"/>
          <w:szCs w:val="30"/>
        </w:rPr>
      </w:pPr>
      <w:bookmarkStart w:id="45" w:name="_Toc18079597"/>
      <w:bookmarkStart w:id="46" w:name="_Toc2044509788"/>
      <w:bookmarkStart w:id="47" w:name="_Toc173785173"/>
      <w:r>
        <w:rPr>
          <w:rFonts w:ascii="黑体" w:eastAsia="黑体" w:hAnsi="黑体" w:hint="eastAsia"/>
          <w:sz w:val="30"/>
          <w:szCs w:val="30"/>
        </w:rPr>
        <w:t xml:space="preserve">十一、《项目支出决算表》</w:t>
      </w:r>
      <w:bookmarkEnd w:id="45"/>
      <w:bookmarkEnd w:id="46"/>
      <w:bookmarkEnd w:id="4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单位：天津市房产管理服务中心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24,895,878.04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24,895,878.04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24,895,878.04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24,895,878.04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24,895,878.04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24,895,878.04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2129999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24,895,878.04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24,895,878.04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2129999</w:t>
            </w:r>
          </w:p>
        </w:tc>
        <w:tc>
          <w:tcPr>
            <w:tcW w:w="5240" w:type="dxa"/>
            <w:tcBorders/>
            <w:vAlign w:val="center"/>
          </w:tcPr>
          <w:p>
            <w:pPr>
              <w:snapToGrid w:val="0"/>
              <w:jc w:val="left"/>
            </w:pPr>
            <w:r>
              <w:rPr>
                <w:rFonts w:ascii="宋体" w:eastAsia="宋体" w:hAnsi="宋体" w:cs="宋体"/>
                <w:b w:val="0"/>
                <w:i w:val="0"/>
                <w:color w:val="000000"/>
                <w:sz w:val="14"/>
              </w:rPr>
              <w:t xml:space="preserve">因公出国费</w:t>
            </w:r>
          </w:p>
        </w:tc>
        <w:tc>
          <w:tcPr>
            <w:tcW w:w="1160" w:type="dxa"/>
            <w:tcBorders/>
            <w:vAlign w:val="center"/>
          </w:tcPr>
          <w:p>
            <w:pPr>
              <w:snapToGrid w:val="0"/>
              <w:jc w:val="right"/>
            </w:pPr>
            <w:r>
              <w:rPr>
                <w:rFonts w:ascii="宋体" w:eastAsia="宋体" w:hAnsi="宋体" w:cs="宋体"/>
                <w:b w:val="0"/>
                <w:i w:val="0"/>
                <w:color w:val="000000"/>
                <w:sz w:val="14"/>
              </w:rPr>
              <w:t xml:space="preserve">67,194.00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67,194.00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2129999</w:t>
            </w:r>
          </w:p>
        </w:tc>
        <w:tc>
          <w:tcPr>
            <w:tcW w:w="5240" w:type="dxa"/>
            <w:tcBorders/>
            <w:vAlign w:val="center"/>
          </w:tcPr>
          <w:p>
            <w:pPr>
              <w:snapToGrid w:val="0"/>
              <w:jc w:val="left"/>
            </w:pPr>
            <w:r>
              <w:rPr>
                <w:rFonts w:ascii="宋体" w:eastAsia="宋体" w:hAnsi="宋体" w:cs="宋体"/>
                <w:b w:val="0"/>
                <w:i w:val="0"/>
                <w:color w:val="000000"/>
                <w:sz w:val="14"/>
              </w:rPr>
              <w:t xml:space="preserve">房屋维护成本</w:t>
            </w:r>
          </w:p>
        </w:tc>
        <w:tc>
          <w:tcPr>
            <w:tcW w:w="1160" w:type="dxa"/>
            <w:tcBorders/>
            <w:vAlign w:val="center"/>
          </w:tcPr>
          <w:p>
            <w:pPr>
              <w:snapToGrid w:val="0"/>
              <w:jc w:val="right"/>
            </w:pPr>
            <w:r>
              <w:rPr>
                <w:rFonts w:ascii="宋体" w:eastAsia="宋体" w:hAnsi="宋体" w:cs="宋体"/>
                <w:b w:val="0"/>
                <w:i w:val="0"/>
                <w:color w:val="000000"/>
                <w:sz w:val="14"/>
              </w:rPr>
              <w:t xml:space="preserve">8,764,234.15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8,764,234.15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2129999</w:t>
            </w:r>
          </w:p>
        </w:tc>
        <w:tc>
          <w:tcPr>
            <w:tcW w:w="5240" w:type="dxa"/>
            <w:tcBorders/>
            <w:vAlign w:val="center"/>
          </w:tcPr>
          <w:p>
            <w:pPr>
              <w:snapToGrid w:val="0"/>
              <w:jc w:val="left"/>
            </w:pPr>
            <w:r>
              <w:rPr>
                <w:rFonts w:ascii="宋体" w:eastAsia="宋体" w:hAnsi="宋体" w:cs="宋体"/>
                <w:b w:val="0"/>
                <w:i w:val="0"/>
                <w:color w:val="000000"/>
                <w:sz w:val="14"/>
              </w:rPr>
              <w:t xml:space="preserve">业务管理系统维护支出</w:t>
            </w:r>
          </w:p>
        </w:tc>
        <w:tc>
          <w:tcPr>
            <w:tcW w:w="1160" w:type="dxa"/>
            <w:tcBorders/>
            <w:vAlign w:val="center"/>
          </w:tcPr>
          <w:p>
            <w:pPr>
              <w:snapToGrid w:val="0"/>
              <w:jc w:val="right"/>
            </w:pPr>
            <w:r>
              <w:rPr>
                <w:rFonts w:ascii="宋体" w:eastAsia="宋体" w:hAnsi="宋体" w:cs="宋体"/>
                <w:b w:val="0"/>
                <w:i w:val="0"/>
                <w:color w:val="000000"/>
                <w:sz w:val="14"/>
              </w:rPr>
              <w:t xml:space="preserve">3,930,029.82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3,930,029.82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2129999</w:t>
            </w:r>
          </w:p>
        </w:tc>
        <w:tc>
          <w:tcPr>
            <w:tcW w:w="5240" w:type="dxa"/>
            <w:tcBorders/>
            <w:vAlign w:val="center"/>
          </w:tcPr>
          <w:p>
            <w:pPr>
              <w:snapToGrid w:val="0"/>
              <w:jc w:val="left"/>
            </w:pPr>
            <w:r>
              <w:rPr>
                <w:rFonts w:ascii="宋体" w:eastAsia="宋体" w:hAnsi="宋体" w:cs="宋体"/>
                <w:b w:val="0"/>
                <w:i w:val="0"/>
                <w:color w:val="000000"/>
                <w:sz w:val="14"/>
              </w:rPr>
              <w:t xml:space="preserve">业务咨询、诉讼等服务支出</w:t>
            </w:r>
          </w:p>
        </w:tc>
        <w:tc>
          <w:tcPr>
            <w:tcW w:w="1160" w:type="dxa"/>
            <w:tcBorders/>
            <w:vAlign w:val="center"/>
          </w:tcPr>
          <w:p>
            <w:pPr>
              <w:snapToGrid w:val="0"/>
              <w:jc w:val="right"/>
            </w:pPr>
            <w:r>
              <w:rPr>
                <w:rFonts w:ascii="宋体" w:eastAsia="宋体" w:hAnsi="宋体" w:cs="宋体"/>
                <w:b w:val="0"/>
                <w:i w:val="0"/>
                <w:color w:val="000000"/>
                <w:sz w:val="14"/>
              </w:rPr>
              <w:t xml:space="preserve">1,026,791.50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1,026,791.50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2129999</w:t>
            </w:r>
          </w:p>
        </w:tc>
        <w:tc>
          <w:tcPr>
            <w:tcW w:w="5240" w:type="dxa"/>
            <w:tcBorders/>
            <w:vAlign w:val="center"/>
          </w:tcPr>
          <w:p>
            <w:pPr>
              <w:snapToGrid w:val="0"/>
              <w:jc w:val="left"/>
            </w:pPr>
            <w:r>
              <w:rPr>
                <w:rFonts w:ascii="宋体" w:eastAsia="宋体" w:hAnsi="宋体" w:cs="宋体"/>
                <w:b w:val="0"/>
                <w:i w:val="0"/>
                <w:color w:val="000000"/>
                <w:sz w:val="14"/>
              </w:rPr>
              <w:t xml:space="preserve">相关税费</w:t>
            </w:r>
          </w:p>
        </w:tc>
        <w:tc>
          <w:tcPr>
            <w:tcW w:w="1160" w:type="dxa"/>
            <w:tcBorders/>
            <w:vAlign w:val="center"/>
          </w:tcPr>
          <w:p>
            <w:pPr>
              <w:snapToGrid w:val="0"/>
              <w:jc w:val="right"/>
            </w:pPr>
            <w:r>
              <w:rPr>
                <w:rFonts w:ascii="宋体" w:eastAsia="宋体" w:hAnsi="宋体" w:cs="宋体"/>
                <w:b w:val="0"/>
                <w:i w:val="0"/>
                <w:color w:val="000000"/>
                <w:sz w:val="14"/>
              </w:rPr>
              <w:t xml:space="preserve">3,284,350.68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3,284,350.68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2129999</w:t>
            </w:r>
          </w:p>
        </w:tc>
        <w:tc>
          <w:tcPr>
            <w:tcW w:w="5240" w:type="dxa"/>
            <w:tcBorders/>
            <w:vAlign w:val="center"/>
          </w:tcPr>
          <w:p>
            <w:pPr>
              <w:snapToGrid w:val="0"/>
              <w:jc w:val="left"/>
            </w:pPr>
            <w:r>
              <w:rPr>
                <w:rFonts w:ascii="宋体" w:eastAsia="宋体" w:hAnsi="宋体" w:cs="宋体"/>
                <w:b w:val="0"/>
                <w:i w:val="0"/>
                <w:color w:val="000000"/>
                <w:sz w:val="14"/>
              </w:rPr>
              <w:t xml:space="preserve">物业管理费</w:t>
            </w:r>
          </w:p>
        </w:tc>
        <w:tc>
          <w:tcPr>
            <w:tcW w:w="1160" w:type="dxa"/>
            <w:tcBorders/>
            <w:vAlign w:val="center"/>
          </w:tcPr>
          <w:p>
            <w:pPr>
              <w:snapToGrid w:val="0"/>
              <w:jc w:val="right"/>
            </w:pPr>
            <w:r>
              <w:rPr>
                <w:rFonts w:ascii="宋体" w:eastAsia="宋体" w:hAnsi="宋体" w:cs="宋体"/>
                <w:b w:val="0"/>
                <w:i w:val="0"/>
                <w:color w:val="000000"/>
                <w:sz w:val="14"/>
              </w:rPr>
              <w:t xml:space="preserve">3,908,324.89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3,908,324.89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2129999</w:t>
            </w:r>
          </w:p>
        </w:tc>
        <w:tc>
          <w:tcPr>
            <w:tcW w:w="5240" w:type="dxa"/>
            <w:tcBorders/>
            <w:vAlign w:val="center"/>
          </w:tcPr>
          <w:p>
            <w:pPr>
              <w:snapToGrid w:val="0"/>
              <w:jc w:val="left"/>
            </w:pPr>
            <w:r>
              <w:rPr>
                <w:rFonts w:ascii="宋体" w:eastAsia="宋体" w:hAnsi="宋体" w:cs="宋体"/>
                <w:b w:val="0"/>
                <w:i w:val="0"/>
                <w:color w:val="000000"/>
                <w:sz w:val="14"/>
              </w:rPr>
              <w:t xml:space="preserve">安全专项支出</w:t>
            </w:r>
          </w:p>
        </w:tc>
        <w:tc>
          <w:tcPr>
            <w:tcW w:w="1160" w:type="dxa"/>
            <w:tcBorders/>
            <w:vAlign w:val="center"/>
          </w:tcPr>
          <w:p>
            <w:pPr>
              <w:snapToGrid w:val="0"/>
              <w:jc w:val="right"/>
            </w:pPr>
            <w:r>
              <w:rPr>
                <w:rFonts w:ascii="宋体" w:eastAsia="宋体" w:hAnsi="宋体" w:cs="宋体"/>
                <w:b w:val="0"/>
                <w:i w:val="0"/>
                <w:color w:val="000000"/>
                <w:sz w:val="14"/>
              </w:rPr>
              <w:t xml:space="preserve">91,516.00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91,516.00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2129999</w:t>
            </w:r>
          </w:p>
        </w:tc>
        <w:tc>
          <w:tcPr>
            <w:tcW w:w="5240" w:type="dxa"/>
            <w:tcBorders/>
            <w:vAlign w:val="center"/>
          </w:tcPr>
          <w:p>
            <w:pPr>
              <w:snapToGrid w:val="0"/>
              <w:jc w:val="left"/>
            </w:pPr>
            <w:r>
              <w:rPr>
                <w:rFonts w:ascii="宋体" w:eastAsia="宋体" w:hAnsi="宋体" w:cs="宋体"/>
                <w:b w:val="0"/>
                <w:i w:val="0"/>
                <w:color w:val="000000"/>
                <w:sz w:val="14"/>
              </w:rPr>
              <w:t xml:space="preserve">企业注资</w:t>
            </w:r>
          </w:p>
        </w:tc>
        <w:tc>
          <w:tcPr>
            <w:tcW w:w="1160" w:type="dxa"/>
            <w:tcBorders/>
            <w:vAlign w:val="center"/>
          </w:tcPr>
          <w:p>
            <w:pPr>
              <w:snapToGrid w:val="0"/>
              <w:jc w:val="right"/>
            </w:pPr>
            <w:r>
              <w:rPr>
                <w:rFonts w:ascii="宋体" w:eastAsia="宋体" w:hAnsi="宋体" w:cs="宋体"/>
                <w:b w:val="0"/>
                <w:i w:val="0"/>
                <w:color w:val="000000"/>
                <w:sz w:val="14"/>
              </w:rPr>
              <w:t xml:space="preserve">3,744,600.00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3,744,600.00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2129999</w:t>
            </w:r>
          </w:p>
        </w:tc>
        <w:tc>
          <w:tcPr>
            <w:tcW w:w="5240" w:type="dxa"/>
            <w:tcBorders/>
            <w:vAlign w:val="center"/>
          </w:tcPr>
          <w:p>
            <w:pPr>
              <w:snapToGrid w:val="0"/>
              <w:jc w:val="left"/>
            </w:pPr>
            <w:r>
              <w:rPr>
                <w:rFonts w:ascii="宋体" w:eastAsia="宋体" w:hAnsi="宋体" w:cs="宋体"/>
                <w:b w:val="0"/>
                <w:i w:val="0"/>
                <w:color w:val="000000"/>
                <w:sz w:val="14"/>
              </w:rPr>
              <w:t xml:space="preserve">购置固定资产</w:t>
            </w:r>
          </w:p>
        </w:tc>
        <w:tc>
          <w:tcPr>
            <w:tcW w:w="1160" w:type="dxa"/>
            <w:tcBorders/>
            <w:vAlign w:val="center"/>
          </w:tcPr>
          <w:p>
            <w:pPr>
              <w:snapToGrid w:val="0"/>
              <w:jc w:val="right"/>
            </w:pPr>
            <w:r>
              <w:rPr>
                <w:rFonts w:ascii="宋体" w:eastAsia="宋体" w:hAnsi="宋体" w:cs="宋体"/>
                <w:b w:val="0"/>
                <w:i w:val="0"/>
                <w:color w:val="000000"/>
                <w:sz w:val="14"/>
              </w:rPr>
              <w:t xml:space="preserve">78,837.00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78,837.00</w:t>
            </w: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44"/>
      <w:bookmarkStart w:id="48" w:name="_Toc190171269"/>
      <w:bookmarkStart w:id="49" w:name="_Toc245797798"/>
      <w:bookmarkStart w:id="50" w:name="_Toc229642691"/>
      <w:bookmarkStart w:id="51" w:name="_Toc1068592552"/>
      <w:r>
        <w:rPr>
          <w:rFonts w:ascii="方正小标宋简体" w:eastAsia="方正小标宋简体" w:hAnsi="方正小标宋简体" w:cs="方正小标宋简体" w:hint="eastAsia"/>
          <w:b w:val="0"/>
        </w:rPr>
        <w:t xml:space="preserve">第三部分 2024年度部门决算情况说明</w:t>
      </w:r>
      <w:bookmarkEnd w:id="48"/>
      <w:bookmarkEnd w:id="49"/>
      <w:bookmarkEnd w:id="50"/>
      <w:bookmarkEnd w:id="51"/>
    </w:p>
    <w:p>
      <w:pPr>
        <w:pStyle w:val="Heading2"/>
        <w:spacing w:before="0" w:after="0" w:line="600" w:lineRule="exact"/>
        <w:ind w:firstLine="600" w:firstLineChars="200"/>
        <w:rPr>
          <w:rFonts w:ascii="黑体" w:eastAsia="黑体" w:hAnsi="黑体"/>
          <w:bCs w:val="0"/>
          <w:sz w:val="30"/>
          <w:szCs w:val="30"/>
        </w:rPr>
      </w:pPr>
      <w:bookmarkStart w:id="52" w:name="_Toc1512537805"/>
      <w:bookmarkStart w:id="53" w:name="_Toc429281603"/>
      <w:bookmarkStart w:id="54" w:name="_Toc576593978"/>
      <w:bookmarkStart w:id="55" w:name="_Toc752851347"/>
      <w:r>
        <w:rPr>
          <w:rFonts w:ascii="黑体" w:eastAsia="黑体" w:hAnsi="黑体" w:hint="eastAsia"/>
          <w:bCs w:val="0"/>
          <w:sz w:val="30"/>
          <w:szCs w:val="30"/>
        </w:rPr>
        <w:t xml:space="preserve">一、收入支出决算总体情况说明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天津市房产管理服务中心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86,010,935.72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减少1,075,937,287.69元，下降92.598%</w:t>
      </w:r>
      <w:r>
        <w:rPr>
          <w:rFonts w:eastAsia="仿宋_GB2312" w:hint="eastAsia"/>
          <w:sz w:val="30"/>
          <w:szCs w:val="30"/>
        </w:rPr>
        <w:t xml:space="preserve">，主要原因是</w:t>
      </w:r>
      <w:r>
        <w:rPr>
          <w:rFonts w:eastAsia="仿宋_GB2312" w:hint="eastAsia"/>
          <w:sz w:val="30"/>
          <w:szCs w:val="30"/>
        </w:rPr>
        <w:t xml:space="preserve">决算编报口径调整</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事业收入49,409,064.50元、其他收入36,601,871.22元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社会保障和就业支出3,843,987.12元、卫生健康支出1,521,581.65元、城乡社区支出58,547,704.17元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6" w:name="_Toc1458959096"/>
      <w:bookmarkStart w:id="57" w:name="_Toc198940905"/>
      <w:bookmarkStart w:id="58" w:name="_Toc1538331348"/>
      <w:bookmarkStart w:id="59" w:name="_Toc1368772982"/>
      <w:r>
        <w:rPr>
          <w:rFonts w:ascii="黑体" w:eastAsia="黑体" w:hAnsi="黑体" w:cs="仿宋_GB2312" w:hint="eastAsia"/>
          <w:bCs w:val="0"/>
          <w:sz w:val="30"/>
          <w:szCs w:val="30"/>
        </w:rPr>
        <w:t xml:space="preserve">二、收入决算情况说明</w:t>
      </w:r>
      <w:bookmarkEnd w:id="56"/>
      <w:bookmarkEnd w:id="57"/>
      <w:bookmarkEnd w:id="58"/>
      <w:bookmarkEnd w:id="59"/>
    </w:p>
    <w:p>
      <w:pPr>
        <w:spacing w:line="600" w:lineRule="exact"/>
        <w:ind w:firstLine="600" w:firstLineChars="200"/>
        <w:rPr>
          <w:rFonts w:eastAsia="仿宋_GB2312"/>
          <w:sz w:val="30"/>
          <w:szCs w:val="30"/>
        </w:rPr>
      </w:pPr>
      <w:r>
        <w:rPr>
          <w:rFonts w:eastAsia="仿宋_GB2312" w:hint="eastAsia"/>
          <w:sz w:val="30"/>
          <w:szCs w:val="30"/>
        </w:rPr>
        <w:t xml:space="preserve">天津市房产管理服务中心</w:t>
      </w:r>
      <w:r>
        <w:rPr>
          <w:rFonts w:eastAsia="仿宋_GB2312" w:hint="eastAsia"/>
          <w:sz w:val="30"/>
          <w:szCs w:val="30"/>
        </w:rPr>
        <w:t xml:space="preserve">2024年度本年收入合计</w:t>
      </w:r>
      <w:r>
        <w:rPr>
          <w:rFonts w:eastAsia="仿宋_GB2312" w:hint="eastAsia"/>
          <w:sz w:val="30"/>
          <w:szCs w:val="30"/>
        </w:rPr>
        <w:t xml:space="preserve">86,010,935.72</w:t>
      </w:r>
      <w:r>
        <w:rPr>
          <w:rFonts w:eastAsia="仿宋_GB2312" w:hint="eastAsia"/>
          <w:sz w:val="30"/>
          <w:szCs w:val="30"/>
        </w:rPr>
        <w:t xml:space="preserve">元，与2023年度相比</w:t>
      </w:r>
      <w:r>
        <w:rPr>
          <w:rFonts w:eastAsia="仿宋_GB2312" w:hint="eastAsia"/>
          <w:sz w:val="30"/>
          <w:szCs w:val="30"/>
        </w:rPr>
        <w:t xml:space="preserve">增加4,150,657.95元，</w:t>
      </w:r>
      <w:r>
        <w:rPr>
          <w:rFonts w:eastAsia="仿宋_GB2312" w:hint="eastAsia"/>
          <w:sz w:val="30"/>
          <w:szCs w:val="30"/>
        </w:rPr>
        <w:t xml:space="preserve">主要原因是</w:t>
      </w:r>
      <w:r>
        <w:rPr>
          <w:rFonts w:eastAsia="仿宋_GB2312" w:hint="eastAsia"/>
          <w:sz w:val="30"/>
          <w:szCs w:val="30"/>
        </w:rPr>
        <w:t xml:space="preserve">房屋租金收入增加</w:t>
      </w:r>
      <w:r>
        <w:rPr>
          <w:rFonts w:eastAsia="仿宋_GB2312" w:hint="eastAsia"/>
          <w:sz w:val="30"/>
          <w:szCs w:val="30"/>
        </w:rPr>
        <w:t xml:space="preserve">。其中：</w:t>
      </w:r>
      <w:r>
        <w:rPr>
          <w:rFonts w:eastAsia="仿宋_GB2312" w:hint="eastAsia"/>
          <w:sz w:val="30"/>
          <w:szCs w:val="30"/>
        </w:rPr>
        <w:t xml:space="preserve">事业收入49,409,064.50元，占57.445%；其他收入36,601,871.22元，占42.555%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60" w:name="_Toc2115235603"/>
      <w:bookmarkStart w:id="61" w:name="_Toc1122681810"/>
      <w:bookmarkStart w:id="62" w:name="_Toc1179339603"/>
      <w:bookmarkStart w:id="63" w:name="_Toc757245026"/>
      <w:r>
        <w:rPr>
          <w:rFonts w:ascii="黑体" w:eastAsia="黑体" w:hAnsi="黑体" w:cs="仿宋_GB2312" w:hint="eastAsia"/>
          <w:bCs w:val="0"/>
          <w:sz w:val="30"/>
          <w:szCs w:val="30"/>
        </w:rPr>
        <w:t xml:space="preserve">三、支出决算情况说明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天津市房产管理服务中心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63,913,272.94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减少4,284,910.13元，</w:t>
      </w:r>
      <w:r>
        <w:rPr>
          <w:rFonts w:eastAsia="仿宋_GB2312" w:hint="eastAsia"/>
          <w:sz w:val="30"/>
          <w:szCs w:val="30"/>
        </w:rPr>
        <w:t xml:space="preserve">主要原因是</w:t>
      </w:r>
      <w:r>
        <w:rPr>
          <w:rFonts w:eastAsia="仿宋_GB2312" w:hint="eastAsia"/>
          <w:sz w:val="30"/>
          <w:szCs w:val="30"/>
        </w:rPr>
        <w:t xml:space="preserve">房屋维护成本减少</w:t>
      </w:r>
      <w:r>
        <w:rPr>
          <w:rFonts w:eastAsia="仿宋_GB2312" w:hint="eastAsia"/>
          <w:sz w:val="30"/>
          <w:szCs w:val="30"/>
        </w:rPr>
        <w:t xml:space="preserve">。其中：</w:t>
      </w:r>
      <w:r>
        <w:rPr>
          <w:rFonts w:eastAsia="仿宋_GB2312" w:hint="eastAsia"/>
          <w:sz w:val="30"/>
          <w:szCs w:val="30"/>
        </w:rPr>
        <w:t xml:space="preserve">基本支出39,017,394.90元，占61.047%；项目支出24,895,878.04元，占38.953%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64" w:name="_Toc2034129458"/>
      <w:bookmarkStart w:id="65" w:name="_Toc1121858128"/>
      <w:bookmarkStart w:id="66" w:name="_Toc1320487183"/>
      <w:bookmarkStart w:id="67" w:name="_Toc1029059860"/>
      <w:r>
        <w:rPr>
          <w:rFonts w:ascii="黑体" w:eastAsia="黑体" w:hAnsi="黑体" w:hint="eastAsia"/>
          <w:bCs w:val="0"/>
          <w:sz w:val="30"/>
          <w:szCs w:val="30"/>
        </w:rPr>
        <w:t xml:space="preserve">四、财政拨款收支决算总体情况说明</w:t>
      </w:r>
      <w:bookmarkEnd w:id="64"/>
      <w:bookmarkEnd w:id="65"/>
      <w:bookmarkEnd w:id="66"/>
      <w:bookmarkEnd w:id="67"/>
    </w:p>
    <w:p>
      <w:pPr>
        <w:spacing w:line="600" w:lineRule="exact"/>
        <w:ind w:firstLine="600"/>
        <w:rPr>
          <w:rFonts w:eastAsia="仿宋_GB2312"/>
          <w:sz w:val="30"/>
          <w:szCs w:val="30"/>
        </w:rPr>
      </w:pPr>
      <w:r>
        <w:rPr>
          <w:rFonts w:eastAsia="仿宋_GB2312" w:hint="eastAsia"/>
          <w:sz w:val="30"/>
          <w:szCs w:val="30"/>
        </w:rPr>
        <w:t xml:space="preserve">天津市房产管理服务中心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0.00</w:t>
      </w:r>
      <w:r>
        <w:rPr>
          <w:rFonts w:eastAsia="仿宋_GB2312" w:hint="eastAsia"/>
          <w:sz w:val="30"/>
          <w:szCs w:val="30"/>
        </w:rPr>
        <w:t xml:space="preserve">元。与2023年度相比，财政拨款收、支总计各</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本单位无财政拨款收入、支出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723257729"/>
      <w:bookmarkStart w:id="69" w:name="_Toc1821624013"/>
      <w:bookmarkStart w:id="70" w:name="_Toc163136636"/>
      <w:bookmarkStart w:id="71" w:name="_Toc1332076583"/>
      <w:r>
        <w:rPr>
          <w:rFonts w:ascii="黑体" w:eastAsia="黑体" w:hAnsi="黑体" w:cs="仿宋_GB2312" w:hint="eastAsia"/>
          <w:sz w:val="30"/>
          <w:szCs w:val="30"/>
        </w:rPr>
        <w:t xml:space="preserve">五、一般公共预算财政拨款支出决算情况说明</w:t>
      </w:r>
      <w:bookmarkEnd w:id="68"/>
      <w:bookmarkEnd w:id="69"/>
      <w:bookmarkEnd w:id="70"/>
      <w:bookmarkEnd w:id="71"/>
    </w:p>
    <w:p>
      <w:pPr>
        <w:spacing w:line="600" w:lineRule="exact"/>
        <w:ind w:firstLine="600" w:firstLineChars="200"/>
        <w:rPr>
          <w:rFonts w:eastAsia="仿宋_GB2312"/>
          <w:sz w:val="30"/>
          <w:szCs w:val="30"/>
        </w:rPr>
      </w:pPr>
      <w:r>
        <w:rPr>
          <w:rFonts w:eastAsia="仿宋_GB2312" w:hint="eastAsia"/>
          <w:sz w:val="30"/>
          <w:szCs w:val="30"/>
        </w:rPr>
        <w:t xml:space="preserve">天津市房产管理服务中心2024年度无一般公共预算财政拨款收入、支出和结转结余。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2" w:name="_Toc1828187861"/>
      <w:bookmarkStart w:id="73" w:name="_Toc1648307680"/>
      <w:bookmarkStart w:id="74" w:name="_Toc1127616914"/>
      <w:bookmarkStart w:id="75" w:name="_Toc1507914859"/>
      <w:r>
        <w:rPr>
          <w:rFonts w:ascii="黑体" w:eastAsia="黑体" w:hAnsi="黑体" w:cs="仿宋_GB2312" w:hint="eastAsia"/>
          <w:sz w:val="30"/>
          <w:szCs w:val="30"/>
        </w:rPr>
        <w:t xml:space="preserve">六、一般公共预算财政拨款基本支出决算情况说明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天津市房产管理服务中心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本单位无一般公共预算财政拨款基本支出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6" w:name="_Toc1070516966"/>
      <w:bookmarkStart w:id="77" w:name="_Toc157358551"/>
      <w:bookmarkStart w:id="78" w:name="_Toc314288823"/>
      <w:bookmarkStart w:id="79" w:name="_Toc568131460"/>
      <w:r>
        <w:rPr>
          <w:rFonts w:ascii="黑体" w:eastAsia="黑体" w:hAnsi="黑体" w:cs="仿宋_GB2312" w:hint="eastAsia"/>
          <w:sz w:val="30"/>
          <w:szCs w:val="30"/>
        </w:rPr>
        <w:t xml:space="preserve">七、政府性基金预算财政拨款收支决算情况说明</w:t>
      </w:r>
      <w:bookmarkEnd w:id="76"/>
      <w:bookmarkEnd w:id="77"/>
      <w:bookmarkEnd w:id="78"/>
      <w:bookmarkEnd w:id="79"/>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天津市房产管理服务中心2024年度无政府性基金预算财政拨款收入、支出和结转结余。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0" w:name="_Toc560652996"/>
      <w:bookmarkStart w:id="81" w:name="_Toc1172797200"/>
      <w:bookmarkStart w:id="82" w:name="_Toc1589960188"/>
      <w:bookmarkStart w:id="83" w:name="_Toc873153658"/>
      <w:r>
        <w:rPr>
          <w:rFonts w:ascii="黑体" w:eastAsia="黑体" w:hAnsi="黑体" w:cs="仿宋_GB2312" w:hint="eastAsia"/>
          <w:sz w:val="30"/>
          <w:szCs w:val="30"/>
        </w:rPr>
        <w:t xml:space="preserve">八、国有资本经营预算财政拨款收支决算情况说明</w:t>
      </w:r>
      <w:bookmarkEnd w:id="80"/>
      <w:bookmarkEnd w:id="81"/>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天津市房产管理服务中心2024年度无国有资本经营预算财政拨款收入、支出和结转结余。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4" w:name="_Toc1337770055"/>
      <w:bookmarkStart w:id="85" w:name="_Toc1597628234"/>
      <w:bookmarkStart w:id="86" w:name="_Toc1884144383"/>
      <w:bookmarkStart w:id="87" w:name="_Toc1321860095"/>
      <w:r>
        <w:rPr>
          <w:rFonts w:ascii="黑体" w:eastAsia="黑体" w:hAnsi="黑体" w:cs="仿宋_GB2312" w:hint="eastAsia"/>
          <w:sz w:val="30"/>
          <w:szCs w:val="30"/>
        </w:rPr>
        <w:t xml:space="preserve">九、财政拨款“三公”经费支出决算情况说明</w:t>
      </w:r>
      <w:bookmarkEnd w:id="84"/>
      <w:bookmarkEnd w:id="85"/>
      <w:bookmarkEnd w:id="86"/>
      <w:bookmarkEnd w:id="87"/>
    </w:p>
    <w:p>
      <w:pPr>
        <w:spacing w:line="600" w:lineRule="exact"/>
        <w:ind w:firstLine="600" w:firstLineChars="200"/>
        <w:rPr>
          <w:rFonts w:ascii="楷体" w:eastAsia="楷体" w:hAnsi="楷体" w:cs="楷体"/>
          <w:b/>
          <w:bCs/>
          <w:sz w:val="30"/>
          <w:szCs w:val="30"/>
        </w:rPr>
      </w:pPr>
      <w:bookmarkStart w:id="88" w:name="_Toc784288450"/>
      <w:bookmarkStart w:id="89" w:name="_Toc99152753"/>
      <w:r>
        <w:rPr>
          <w:rFonts w:ascii="楷体" w:eastAsia="楷体" w:hAnsi="楷体" w:cs="楷体" w:hint="eastAsia"/>
          <w:b/>
          <w:bCs/>
          <w:sz w:val="30"/>
          <w:szCs w:val="30"/>
        </w:rPr>
        <w:t xml:space="preserve">（一）总体情况</w:t>
      </w:r>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决算数与预算数持平的主要原因是本单位未使用财政拨款列支“三公”经费；</w:t>
      </w:r>
      <w:r>
        <w:rPr>
          <w:rFonts w:eastAsia="仿宋_GB2312" w:hint="eastAsia"/>
          <w:sz w:val="30"/>
          <w:szCs w:val="30"/>
        </w:rPr>
        <w:t xml:space="preserve">决算数较上年持平的主要原因是本单位未使用财政拨款列支“三公”经费。</w:t>
      </w:r>
    </w:p>
    <w:p>
      <w:pPr>
        <w:spacing w:line="600" w:lineRule="exact"/>
        <w:ind w:firstLine="600" w:firstLineChars="200"/>
        <w:rPr>
          <w:rFonts w:ascii="楷体" w:eastAsia="楷体" w:hAnsi="楷体" w:cs="楷体"/>
          <w:b/>
          <w:bCs/>
          <w:sz w:val="30"/>
          <w:szCs w:val="30"/>
        </w:rPr>
      </w:pPr>
      <w:bookmarkStart w:id="90" w:name="_Toc13009599"/>
      <w:bookmarkStart w:id="91" w:name="_Toc281353864"/>
      <w:r>
        <w:rPr>
          <w:rFonts w:ascii="楷体" w:eastAsia="楷体" w:hAnsi="楷体" w:cs="楷体" w:hint="eastAsia"/>
          <w:b/>
          <w:bCs/>
          <w:sz w:val="30"/>
          <w:szCs w:val="30"/>
        </w:rPr>
        <w:t xml:space="preserve">（二）具体情况</w:t>
      </w:r>
      <w:bookmarkEnd w:id="90"/>
      <w:bookmarkEnd w:id="91"/>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决算数与预算数持平的主要原因是本单位未使用财政拨款列支因公出国（境）费；</w:t>
      </w:r>
      <w:r>
        <w:rPr>
          <w:rFonts w:eastAsia="仿宋_GB2312" w:hint="eastAsia"/>
          <w:sz w:val="30"/>
          <w:szCs w:val="30"/>
        </w:rPr>
        <w:t xml:space="preserve">决算数较上年持平的主要原因是本单位未使用财政拨款列支因公出国（境）费。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决算数与预算数持平的主要原因是本单位未使用财政拨款列支公务用车购置及运行维护费；</w:t>
      </w:r>
      <w:r>
        <w:rPr>
          <w:rFonts w:eastAsia="仿宋_GB2312" w:hint="eastAsia"/>
          <w:sz w:val="30"/>
          <w:szCs w:val="30"/>
        </w:rPr>
        <w:t xml:space="preserve">决算数较上年持平的主要原因是本单位未使用财政拨款列支公务用车购置及运行维护费。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决算数与预算数持平的主要原因是本单位未使用财政拨款列支公务用车运行维护费；</w:t>
      </w:r>
      <w:r>
        <w:rPr>
          <w:rFonts w:eastAsia="仿宋_GB2312" w:hint="eastAsia"/>
          <w:sz w:val="30"/>
          <w:szCs w:val="30"/>
        </w:rPr>
        <w:t xml:space="preserve">决算数较上年持平的主要原因是本单位未使用财政拨款列支公务用车运行维护费。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决算数与预算数持平的主要原因是本单位未使用财政拨款列支公务用车购置费；</w:t>
      </w:r>
      <w:r>
        <w:rPr>
          <w:rFonts w:eastAsia="仿宋_GB2312" w:hint="eastAsia"/>
          <w:sz w:val="30"/>
          <w:szCs w:val="30"/>
        </w:rPr>
        <w:t xml:space="preserve">决算数较上年持平的主要原因是本单位未使用财政拨款列支公务用车购置费。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决算数与预算数持平的主要原因是本单位未使用财政拨款列支公务接待费；</w:t>
      </w:r>
      <w:r>
        <w:rPr>
          <w:rFonts w:eastAsia="仿宋_GB2312" w:hint="eastAsia"/>
          <w:sz w:val="30"/>
          <w:szCs w:val="30"/>
        </w:rPr>
        <w:t xml:space="preserve">决算数较上年持平的主要原因是本单位未使用财政拨款列支公务接待费。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92" w:name="_Toc2102885201"/>
      <w:bookmarkStart w:id="93" w:name="_Toc20786419"/>
      <w:bookmarkStart w:id="94" w:name="_Toc1349690397"/>
      <w:bookmarkStart w:id="95" w:name="_Toc1895013942"/>
      <w:r>
        <w:rPr>
          <w:rFonts w:ascii="黑体" w:eastAsia="黑体" w:hAnsi="黑体" w:cs="仿宋_GB2312" w:hint="eastAsia"/>
          <w:sz w:val="30"/>
          <w:szCs w:val="30"/>
        </w:rPr>
        <w:t xml:space="preserve">十、机关运行经费支出情况说明</w:t>
      </w:r>
      <w:bookmarkEnd w:id="92"/>
      <w:bookmarkEnd w:id="93"/>
      <w:bookmarkEnd w:id="94"/>
      <w:bookmarkEnd w:id="95"/>
    </w:p>
    <w:p>
      <w:pPr>
        <w:spacing w:line="600" w:lineRule="exact"/>
        <w:ind w:firstLine="600" w:firstLineChars="200"/>
        <w:rPr>
          <w:rFonts w:eastAsia="仿宋_GB2312"/>
          <w:sz w:val="30"/>
          <w:szCs w:val="30"/>
        </w:rPr>
      </w:pPr>
      <w:r>
        <w:rPr>
          <w:rFonts w:eastAsia="仿宋_GB2312" w:hint="eastAsia"/>
          <w:sz w:val="30"/>
          <w:szCs w:val="30"/>
        </w:rPr>
        <w:t xml:space="preserve">天津市房产管理服务中心2024年度无机关运行经费。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6" w:name="_Toc2053194528"/>
      <w:bookmarkStart w:id="97" w:name="_Toc376739118"/>
      <w:bookmarkStart w:id="98" w:name="_Toc169354537"/>
      <w:bookmarkStart w:id="99" w:name="_Toc1464993319"/>
      <w:r>
        <w:rPr>
          <w:rFonts w:ascii="黑体" w:eastAsia="黑体" w:hAnsi="黑体" w:cs="仿宋_GB2312" w:hint="eastAsia"/>
          <w:sz w:val="30"/>
          <w:szCs w:val="30"/>
        </w:rPr>
        <w:t xml:space="preserve">十一、政府采购支出情况说明</w:t>
      </w:r>
      <w:bookmarkEnd w:id="96"/>
      <w:bookmarkEnd w:id="97"/>
      <w:bookmarkEnd w:id="98"/>
      <w:bookmarkEnd w:id="99"/>
    </w:p>
    <w:p>
      <w:pPr>
        <w:spacing w:line="600" w:lineRule="exact"/>
        <w:ind w:firstLine="600" w:firstLineChars="200"/>
        <w:jc w:val="both"/>
        <w:rPr>
          <w:rFonts w:eastAsia="仿宋_GB2312"/>
          <w:sz w:val="30"/>
          <w:szCs w:val="30"/>
        </w:rPr>
      </w:pPr>
      <w:r>
        <w:rPr>
          <w:rFonts w:eastAsia="仿宋_GB2312" w:hint="eastAsia"/>
          <w:sz w:val="30"/>
          <w:szCs w:val="30"/>
        </w:rPr>
        <w:t xml:space="preserve">天津市房产管理服务中心2024年政府采购支出总额11,109,294.78元，其中：政府采购货物支出78,796.50元、政府采购工程支出845,000.00元、政府采购服务支出10,185,498.28元。授予中小企业合同金额11,038,789.78元，占政府采购支出总额的99.365%，其中：授予小微企业合同金额11,032,097.28元，占政府采购支出总额的99.305%；货物采购授予中小企业合同金额占货物支出金额的10.523%，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100" w:name="_Toc125708453"/>
      <w:bookmarkStart w:id="101" w:name="_Toc1242699578"/>
      <w:bookmarkStart w:id="102" w:name="_Toc925871084"/>
      <w:bookmarkStart w:id="103" w:name="_Toc1072564870"/>
      <w:r>
        <w:rPr>
          <w:rFonts w:ascii="黑体" w:eastAsia="黑体" w:hAnsi="黑体" w:cs="仿宋_GB2312" w:hint="eastAsia"/>
          <w:sz w:val="30"/>
          <w:szCs w:val="30"/>
        </w:rPr>
        <w:t xml:space="preserve">十二、国有资产占有使用情况说明</w:t>
      </w:r>
      <w:bookmarkEnd w:id="100"/>
      <w:bookmarkEnd w:id="101"/>
      <w:bookmarkEnd w:id="102"/>
      <w:bookmarkEnd w:id="103"/>
    </w:p>
    <w:p>
      <w:pPr>
        <w:spacing w:line="600" w:lineRule="exact"/>
        <w:ind w:firstLine="600" w:firstLineChars="200"/>
        <w:jc w:val="both"/>
        <w:rPr>
          <w:rFonts w:eastAsia="仿宋_GB2312"/>
          <w:sz w:val="30"/>
          <w:szCs w:val="30"/>
        </w:rPr>
      </w:pPr>
      <w:bookmarkStart w:id="104" w:name="_Toc620037172"/>
      <w:r>
        <w:rPr>
          <w:rFonts w:eastAsia="仿宋_GB2312" w:hint="eastAsia"/>
          <w:sz w:val="30"/>
          <w:szCs w:val="30"/>
        </w:rPr>
        <w:t xml:space="preserve">截至2024年12月31日，天津市房产管理服务中心共有车辆2辆</w:t>
      </w:r>
      <w:r>
        <w:rPr>
          <w:rFonts w:eastAsia="仿宋_GB2312" w:hint="eastAsia"/>
          <w:sz w:val="30"/>
          <w:szCs w:val="30"/>
        </w:rPr>
        <w:t xml:space="preserve">，其中：</w:t>
      </w:r>
      <w:r>
        <w:rPr>
          <w:rFonts w:eastAsia="仿宋_GB2312" w:hint="eastAsia"/>
          <w:sz w:val="30"/>
          <w:szCs w:val="30"/>
        </w:rPr>
        <w:t xml:space="preserve">特种专业技术用车2辆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5" w:name="_Toc1805544570"/>
      <w:bookmarkStart w:id="106" w:name="_Toc1773340371"/>
      <w:bookmarkStart w:id="107" w:name="_Toc448802626"/>
      <w:r>
        <w:rPr>
          <w:rFonts w:ascii="黑体" w:eastAsia="黑体" w:hAnsi="黑体" w:cs="仿宋_GB2312" w:hint="eastAsia"/>
          <w:sz w:val="30"/>
          <w:szCs w:val="30"/>
        </w:rPr>
        <w:t xml:space="preserve">十三、预算绩效情况说明</w:t>
      </w:r>
      <w:bookmarkEnd w:id="104"/>
      <w:bookmarkEnd w:id="105"/>
      <w:bookmarkEnd w:id="106"/>
      <w:bookmarkEnd w:id="107"/>
    </w:p>
    <w:p>
      <w:pPr>
        <w:spacing w:line="600" w:lineRule="exact"/>
        <w:jc w:val="both"/>
        <w:rPr>
          <w:rFonts w:eastAsia="仿宋_GB2312"/>
          <w:sz w:val="30"/>
          <w:szCs w:val="30"/>
        </w:rPr>
      </w:pPr>
      <w:r>
        <w:rPr>
          <w:rFonts w:eastAsia="仿宋_GB2312" w:hint="eastAsia"/>
          <w:sz w:val="30"/>
          <w:szCs w:val="30"/>
        </w:rPr>
        <w:t xml:space="preserve">    根据预算绩效管理要求，天津市房产管理服务中心已对2个2024年度市级项目开展绩效自评，涉及金额28,960,000元，自评结果已随部门决算一并公开。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8" w:name="_Toc1843655880"/>
      <w:bookmarkStart w:id="109" w:name="_Toc1753562331"/>
      <w:bookmarkStart w:id="110" w:name="_Toc1063166918"/>
      <w:bookmarkStart w:id="111" w:name="_Toc1374094560"/>
      <w:r>
        <w:rPr>
          <w:rFonts w:ascii="黑体" w:eastAsia="黑体" w:hAnsi="黑体" w:cs="仿宋_GB2312" w:hint="eastAsia"/>
          <w:sz w:val="30"/>
          <w:szCs w:val="30"/>
        </w:rPr>
        <w:t xml:space="preserve">十四、教育、医疗卫生、社会保障和就业、住房保障、涉农补贴等民生支出情况说明</w:t>
      </w:r>
      <w:bookmarkEnd w:id="108"/>
      <w:bookmarkEnd w:id="109"/>
      <w:bookmarkEnd w:id="110"/>
      <w:bookmarkEnd w:id="111"/>
    </w:p>
    <w:p>
      <w:pPr>
        <w:spacing w:line="600" w:lineRule="exact"/>
        <w:rPr>
          <w:rFonts w:eastAsia="楷体"/>
          <w:sz w:val="30"/>
          <w:szCs w:val="30"/>
        </w:rPr>
      </w:pPr>
      <w:r>
        <w:rPr>
          <w:rFonts w:eastAsia="仿宋_GB2312" w:hint="eastAsia"/>
          <w:sz w:val="30"/>
          <w:szCs w:val="30"/>
        </w:rPr>
        <w:t xml:space="preserve">    天津市房产管理服务中心不属于乡、镇、街级单位，不涉及公开2024年度教育、医疗卫生、社会保障和就业、住房保障、涉农补贴等民生支出情况。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12" w:name="_Toc282832597"/>
      <w:bookmarkStart w:id="113" w:name="_Toc368130082"/>
      <w:bookmarkStart w:id="114" w:name="_Toc56525689"/>
      <w:bookmarkStart w:id="115" w:name="_Toc1582447786"/>
      <w:r>
        <w:rPr>
          <w:rFonts w:ascii="方正小标宋简体" w:eastAsia="方正小标宋简体" w:hAnsi="方正小标宋简体" w:cs="方正小标宋简体" w:hint="eastAsia"/>
          <w:b w:val="0"/>
        </w:rPr>
        <w:t xml:space="preserve">第四部分  名词解释</w:t>
      </w:r>
      <w:bookmarkEnd w:id="112"/>
      <w:bookmarkEnd w:id="113"/>
      <w:bookmarkEnd w:id="114"/>
      <w:bookmarkEnd w:id="115"/>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